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7CA" w:rsidRDefault="00E637CA" w:rsidP="00E637CA">
      <w:pPr>
        <w:spacing w:after="0" w:line="240" w:lineRule="auto"/>
        <w:ind w:firstLine="709"/>
        <w:jc w:val="both"/>
        <w:rPr>
          <w:rFonts w:ascii="Times New Roman" w:hAnsi="Times New Roman" w:cs="Times New Roman"/>
          <w:sz w:val="24"/>
          <w:szCs w:val="24"/>
        </w:rPr>
      </w:pPr>
    </w:p>
    <w:tbl>
      <w:tblPr>
        <w:tblStyle w:val="a3"/>
        <w:tblW w:w="0" w:type="auto"/>
        <w:tblLook w:val="04A0"/>
      </w:tblPr>
      <w:tblGrid>
        <w:gridCol w:w="592"/>
        <w:gridCol w:w="7318"/>
        <w:gridCol w:w="1435"/>
      </w:tblGrid>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w:t>
            </w:r>
          </w:p>
          <w:p w:rsidR="00E637CA" w:rsidRPr="00A6674B" w:rsidRDefault="00E637CA" w:rsidP="00583128">
            <w:pPr>
              <w:jc w:val="center"/>
              <w:rPr>
                <w:rFonts w:ascii="Times New Roman" w:hAnsi="Times New Roman" w:cs="Times New Roman"/>
                <w:sz w:val="24"/>
                <w:szCs w:val="24"/>
              </w:rPr>
            </w:pPr>
            <w:proofErr w:type="spellStart"/>
            <w:proofErr w:type="gramStart"/>
            <w:r w:rsidRPr="00A6674B">
              <w:rPr>
                <w:rFonts w:ascii="Times New Roman" w:hAnsi="Times New Roman" w:cs="Times New Roman"/>
                <w:sz w:val="24"/>
                <w:szCs w:val="24"/>
              </w:rPr>
              <w:t>п</w:t>
            </w:r>
            <w:proofErr w:type="spellEnd"/>
            <w:proofErr w:type="gramEnd"/>
            <w:r w:rsidRPr="00A6674B">
              <w:rPr>
                <w:rFonts w:ascii="Times New Roman" w:hAnsi="Times New Roman" w:cs="Times New Roman"/>
                <w:sz w:val="24"/>
                <w:szCs w:val="24"/>
              </w:rPr>
              <w:t>/</w:t>
            </w:r>
            <w:proofErr w:type="spellStart"/>
            <w:r w:rsidRPr="00A6674B">
              <w:rPr>
                <w:rFonts w:ascii="Times New Roman" w:hAnsi="Times New Roman" w:cs="Times New Roman"/>
                <w:sz w:val="24"/>
                <w:szCs w:val="24"/>
              </w:rPr>
              <w:t>п</w:t>
            </w:r>
            <w:proofErr w:type="spellEnd"/>
          </w:p>
        </w:tc>
        <w:tc>
          <w:tcPr>
            <w:tcW w:w="7318"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Категории граждан</w:t>
            </w:r>
          </w:p>
          <w:p w:rsidR="00E637CA" w:rsidRPr="00A6674B" w:rsidRDefault="00E637CA" w:rsidP="00583128">
            <w:pPr>
              <w:jc w:val="center"/>
              <w:rPr>
                <w:rFonts w:ascii="Times New Roman" w:hAnsi="Times New Roman" w:cs="Times New Roman"/>
                <w:sz w:val="24"/>
                <w:szCs w:val="24"/>
              </w:rPr>
            </w:pPr>
          </w:p>
        </w:tc>
        <w:tc>
          <w:tcPr>
            <w:tcW w:w="1435" w:type="dxa"/>
          </w:tcPr>
          <w:p w:rsidR="00E637CA" w:rsidRPr="00A6674B" w:rsidRDefault="00E637CA" w:rsidP="00583128">
            <w:pPr>
              <w:jc w:val="center"/>
              <w:rPr>
                <w:rFonts w:ascii="Times New Roman" w:hAnsi="Times New Roman" w:cs="Times New Roman"/>
                <w:sz w:val="24"/>
                <w:szCs w:val="24"/>
              </w:rPr>
            </w:pPr>
            <w:r w:rsidRPr="00A6674B">
              <w:rPr>
                <w:rFonts w:ascii="Times New Roman" w:hAnsi="Times New Roman" w:cs="Times New Roman"/>
                <w:sz w:val="24"/>
                <w:szCs w:val="24"/>
              </w:rPr>
              <w:t xml:space="preserve">Стоимость </w:t>
            </w:r>
            <w:r>
              <w:rPr>
                <w:rFonts w:ascii="Times New Roman" w:hAnsi="Times New Roman" w:cs="Times New Roman"/>
                <w:sz w:val="24"/>
                <w:szCs w:val="24"/>
              </w:rPr>
              <w:t>проездного</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w:t>
            </w:r>
            <w:proofErr w:type="gramStart"/>
            <w:r>
              <w:rPr>
                <w:rFonts w:ascii="Times New Roman" w:hAnsi="Times New Roman" w:cs="Times New Roman"/>
                <w:sz w:val="24"/>
                <w:szCs w:val="24"/>
              </w:rPr>
              <w:t>получающим</w:t>
            </w:r>
            <w:proofErr w:type="gramEnd"/>
            <w:r>
              <w:rPr>
                <w:rFonts w:ascii="Times New Roman" w:hAnsi="Times New Roman" w:cs="Times New Roman"/>
                <w:sz w:val="24"/>
                <w:szCs w:val="24"/>
              </w:rPr>
              <w:t xml:space="preserve"> пенсию за выслугу лет и не имеющим мер социальной поддержки по федеральному и региональному законодательству, достигшим возраста 60 лет для мужчин и 55 лет для женщин, независимо от прекращения ими трудовой деятельности, из числа: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Российской Федерации и Объединенных Вооруженных Силах Содружества Независимых Государств, Федеральной пограничной службе и органах пограничной службы Российской Федерации, внутренних и железнодорожных войсках, федеральных органах правительственной связи и информации, войсках гражданской обороны, органах федеральной службы безопасности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контрразведки) и пограничных войсках, органах внешней разведки, других воинских формированиях Российской Федерации, созданных в соответствии с законодательством Российской Федерации;</w:t>
            </w:r>
            <w:proofErr w:type="gramEnd"/>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1.2.</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 офицерского состава, прапорщиков и мичманов, проходивших военную службу в Вооруженных Силах, войсках и органах Комитета государственной безопасности, внутренних и железнодорожных войсках, других воинских формированиях бывшего Союза ССР;</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лиц рядового и начальствующего состава, проходивших службу в органах внутренних дел Российской Федерации, бывшего Союза ССР, Государственной противопожарной службе, органах по </w:t>
            </w:r>
            <w:proofErr w:type="gramStart"/>
            <w:r>
              <w:rPr>
                <w:rFonts w:ascii="Times New Roman" w:hAnsi="Times New Roman" w:cs="Times New Roman"/>
                <w:sz w:val="24"/>
                <w:szCs w:val="24"/>
              </w:rPr>
              <w:t>контролю за</w:t>
            </w:r>
            <w:proofErr w:type="gramEnd"/>
            <w:r>
              <w:rPr>
                <w:rFonts w:ascii="Times New Roman" w:hAnsi="Times New Roman" w:cs="Times New Roman"/>
                <w:sz w:val="24"/>
                <w:szCs w:val="24"/>
              </w:rPr>
              <w:t xml:space="preserve"> оборотом наркотических средств и психотропных веществ и учреждениях и органах уголовно-исполнительной системы;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1.4.</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вдов (вдовцов) граждан, относящихся к категориям, указанным в </w:t>
            </w:r>
            <w:hyperlink r:id="rId4" w:history="1">
              <w:r w:rsidRPr="00702E24">
                <w:rPr>
                  <w:rFonts w:ascii="Times New Roman" w:hAnsi="Times New Roman" w:cs="Times New Roman"/>
                  <w:color w:val="000000" w:themeColor="text1"/>
                  <w:sz w:val="24"/>
                  <w:szCs w:val="24"/>
                </w:rPr>
                <w:t>подпунктах "а"</w:t>
              </w:r>
            </w:hyperlink>
            <w:r w:rsidRPr="00702E24">
              <w:rPr>
                <w:rFonts w:ascii="Times New Roman" w:hAnsi="Times New Roman" w:cs="Times New Roman"/>
                <w:color w:val="000000" w:themeColor="text1"/>
                <w:sz w:val="24"/>
                <w:szCs w:val="24"/>
              </w:rPr>
              <w:t xml:space="preserve"> - </w:t>
            </w:r>
            <w:hyperlink r:id="rId5" w:history="1">
              <w:r w:rsidRPr="00702E24">
                <w:rPr>
                  <w:rFonts w:ascii="Times New Roman" w:hAnsi="Times New Roman" w:cs="Times New Roman"/>
                  <w:color w:val="000000" w:themeColor="text1"/>
                  <w:sz w:val="24"/>
                  <w:szCs w:val="24"/>
                </w:rPr>
                <w:t>"в" пункта 1 части 1</w:t>
              </w:r>
            </w:hyperlink>
            <w:r>
              <w:rPr>
                <w:rFonts w:ascii="Times New Roman" w:hAnsi="Times New Roman" w:cs="Times New Roman"/>
                <w:sz w:val="24"/>
                <w:szCs w:val="24"/>
              </w:rPr>
              <w:t xml:space="preserve"> настоящей статьи, - граждан, получающих пенсию по случаю потери кормильца и не имеющих мер социальной поддержки по федеральному и региональному законодательству, достигших возраста 60 лет для мужчин и 55 лет для женщин, независимо от прекращения ими трудовой деятельности;</w:t>
            </w:r>
            <w:proofErr w:type="gramEnd"/>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rPr>
                <w:rFonts w:ascii="Times New Roman" w:hAnsi="Times New Roman" w:cs="Times New Roman"/>
                <w:sz w:val="24"/>
                <w:szCs w:val="24"/>
              </w:rPr>
            </w:pPr>
            <w:r w:rsidRPr="002C4689">
              <w:rPr>
                <w:rFonts w:ascii="Times New Roman" w:hAnsi="Times New Roman" w:cs="Times New Roman"/>
                <w:b/>
                <w:sz w:val="24"/>
                <w:szCs w:val="24"/>
              </w:rPr>
              <w:t>2</w:t>
            </w:r>
            <w:r>
              <w:rPr>
                <w:rFonts w:ascii="Times New Roman" w:hAnsi="Times New Roman" w:cs="Times New Roman"/>
                <w:sz w:val="24"/>
                <w:szCs w:val="24"/>
              </w:rPr>
              <w:t>.</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 xml:space="preserve">ветераны труда при достижении ими возраста, дающего право на пенсию по старости в соответствии с Федеральным </w:t>
            </w:r>
            <w:hyperlink r:id="rId6"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28 декабря 2013 года N 400-ФЗ "О страховых пенсиях" и Федеральным </w:t>
            </w:r>
            <w:hyperlink r:id="rId7" w:history="1">
              <w:r w:rsidRPr="00702E24">
                <w:rPr>
                  <w:rFonts w:ascii="Times New Roman" w:hAnsi="Times New Roman" w:cs="Times New Roman"/>
                  <w:color w:val="000000" w:themeColor="text1"/>
                  <w:sz w:val="24"/>
                  <w:szCs w:val="24"/>
                </w:rPr>
                <w:t>законом</w:t>
              </w:r>
            </w:hyperlink>
            <w:r w:rsidRPr="00702E24">
              <w:rPr>
                <w:rFonts w:ascii="Times New Roman" w:hAnsi="Times New Roman" w:cs="Times New Roman"/>
                <w:color w:val="000000" w:themeColor="text1"/>
                <w:sz w:val="24"/>
                <w:szCs w:val="24"/>
              </w:rPr>
              <w:t xml:space="preserve"> от 15</w:t>
            </w:r>
            <w:r>
              <w:rPr>
                <w:rFonts w:ascii="Times New Roman" w:hAnsi="Times New Roman" w:cs="Times New Roman"/>
                <w:sz w:val="24"/>
                <w:szCs w:val="24"/>
              </w:rPr>
              <w:t xml:space="preserve"> декабря 2001 года N 166-ФЗ "О государственном пенсионном обеспечении в Российской Федерации", либо возраста 60 лет для мужчин и 55 лет для женщин, из числа лиц:</w:t>
            </w:r>
            <w:proofErr w:type="gramEnd"/>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lastRenderedPageBreak/>
              <w:t>2.1</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имеющих</w:t>
            </w:r>
            <w:proofErr w:type="gramEnd"/>
            <w:r>
              <w:rPr>
                <w:rFonts w:ascii="Times New Roman" w:hAnsi="Times New Roman" w:cs="Times New Roman"/>
                <w:sz w:val="24"/>
                <w:szCs w:val="24"/>
              </w:rPr>
              <w:t xml:space="preserve"> удостоверение "Ветеран труда";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2.2.</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награжденных орденами или медалями СССР или Российской Федерации либо удостоенных почетных званий СССР или Российской Федерации, либо награжденных почетными грамотами Президента Российской Федерации или удостоенных благодарности Президента Российской Федерации, либо награжденных ведомственными знаками отличия за заслуги в труде (службе) и продолжительную работу (службу) не менее 15 лет в соответствующей сфере деятельности (отрасли экономики) и имеющих трудовой (страховой) стаж, учитываемый для</w:t>
            </w:r>
            <w:proofErr w:type="gramEnd"/>
            <w:r>
              <w:rPr>
                <w:rFonts w:ascii="Times New Roman" w:hAnsi="Times New Roman" w:cs="Times New Roman"/>
                <w:sz w:val="24"/>
                <w:szCs w:val="24"/>
              </w:rPr>
              <w:t xml:space="preserve"> назначения пенсии, не менее 25 лет для мужчин и 20 лет для женщин или выслугу лет, необходимую для назначения пенсии за выслугу лет в календарном исчислении;</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2.3.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начавших трудовую деятельность в несовершеннолетнем возрасте в период Великой Отечественной войны и имеющих трудовой (страховой) стаж не менее 40 лет для мужчин и 35 лет для женщин;</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3.</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ветераны Великой Отечественной войны из числа лиц, проработавших в тылу в период с 22 июня 1941 года по 9 мая 1945 года не менее 6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4.</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приравненные к ветеранам труда по состоянию на 31 декабря 2004 года;</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5.</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репрессированные по политическим мотивам и впоследствии реабилитированные в порядке, установленном </w:t>
            </w:r>
            <w:r w:rsidRPr="003239FC">
              <w:rPr>
                <w:rFonts w:ascii="Times New Roman" w:hAnsi="Times New Roman" w:cs="Times New Roman"/>
                <w:color w:val="000000" w:themeColor="text1"/>
                <w:sz w:val="24"/>
                <w:szCs w:val="24"/>
              </w:rPr>
              <w:t xml:space="preserve">Федеральным </w:t>
            </w:r>
            <w:hyperlink r:id="rId8" w:history="1">
              <w:r w:rsidRPr="003239FC">
                <w:rPr>
                  <w:rFonts w:ascii="Times New Roman" w:hAnsi="Times New Roman" w:cs="Times New Roman"/>
                  <w:color w:val="000000" w:themeColor="text1"/>
                  <w:sz w:val="24"/>
                  <w:szCs w:val="24"/>
                </w:rPr>
                <w:t>законом</w:t>
              </w:r>
            </w:hyperlink>
            <w:r w:rsidRPr="003239FC">
              <w:rPr>
                <w:rFonts w:ascii="Times New Roman" w:hAnsi="Times New Roman" w:cs="Times New Roman"/>
                <w:color w:val="000000" w:themeColor="text1"/>
                <w:sz w:val="24"/>
                <w:szCs w:val="24"/>
              </w:rPr>
              <w:t xml:space="preserve"> от</w:t>
            </w:r>
            <w:r>
              <w:rPr>
                <w:rFonts w:ascii="Times New Roman" w:hAnsi="Times New Roman" w:cs="Times New Roman"/>
                <w:sz w:val="24"/>
                <w:szCs w:val="24"/>
              </w:rPr>
              <w:t xml:space="preserve"> 18 октября 1991 года N 1761-1 "О реабилитации жертв политических репрессий";</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6.</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признанные пострадавшими от политических репрессий;</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7.</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инвалиды Великой Отечественной войны и приравненным к ним лица;</w:t>
            </w:r>
            <w:proofErr w:type="gramEnd"/>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8.</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участники Великой Отечественной войны;</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9.</w:t>
            </w:r>
          </w:p>
        </w:tc>
        <w:tc>
          <w:tcPr>
            <w:tcW w:w="7318" w:type="dxa"/>
          </w:tcPr>
          <w:p w:rsidR="00E637CA" w:rsidRPr="00A6674B"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ветераны боевых действий из числа лиц, указанных в </w:t>
            </w:r>
            <w:hyperlink r:id="rId9" w:history="1">
              <w:r w:rsidRPr="003239FC">
                <w:rPr>
                  <w:rFonts w:ascii="Times New Roman" w:hAnsi="Times New Roman" w:cs="Times New Roman"/>
                  <w:color w:val="000000" w:themeColor="text1"/>
                  <w:sz w:val="24"/>
                  <w:szCs w:val="24"/>
                </w:rPr>
                <w:t>пунктах 1</w:t>
              </w:r>
            </w:hyperlink>
            <w:r w:rsidRPr="003239FC">
              <w:rPr>
                <w:rFonts w:ascii="Times New Roman" w:hAnsi="Times New Roman" w:cs="Times New Roman"/>
                <w:color w:val="000000" w:themeColor="text1"/>
                <w:sz w:val="24"/>
                <w:szCs w:val="24"/>
              </w:rPr>
              <w:t xml:space="preserve"> - </w:t>
            </w:r>
            <w:hyperlink r:id="rId10" w:history="1">
              <w:r w:rsidRPr="003239FC">
                <w:rPr>
                  <w:rFonts w:ascii="Times New Roman" w:hAnsi="Times New Roman" w:cs="Times New Roman"/>
                  <w:color w:val="000000" w:themeColor="text1"/>
                  <w:sz w:val="24"/>
                  <w:szCs w:val="24"/>
                </w:rPr>
                <w:t>4 части 1 статьи 3</w:t>
              </w:r>
            </w:hyperlink>
            <w:r w:rsidRPr="003239FC">
              <w:rPr>
                <w:rFonts w:ascii="Times New Roman" w:hAnsi="Times New Roman" w:cs="Times New Roman"/>
                <w:color w:val="000000" w:themeColor="text1"/>
                <w:sz w:val="24"/>
                <w:szCs w:val="24"/>
              </w:rPr>
              <w:t xml:space="preserve"> Федерального закона от 12 января 1995 года N 5-ФЗ "О в</w:t>
            </w:r>
            <w:r>
              <w:rPr>
                <w:rFonts w:ascii="Times New Roman" w:hAnsi="Times New Roman" w:cs="Times New Roman"/>
                <w:sz w:val="24"/>
                <w:szCs w:val="24"/>
              </w:rPr>
              <w:t>етеранах";</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A6674B" w:rsidTr="00583128">
        <w:tc>
          <w:tcPr>
            <w:tcW w:w="592" w:type="dxa"/>
          </w:tcPr>
          <w:p w:rsidR="00E637CA" w:rsidRPr="002C4689" w:rsidRDefault="00E637CA" w:rsidP="00583128">
            <w:pPr>
              <w:rPr>
                <w:rFonts w:ascii="Times New Roman" w:hAnsi="Times New Roman" w:cs="Times New Roman"/>
                <w:b/>
                <w:sz w:val="24"/>
                <w:szCs w:val="24"/>
              </w:rPr>
            </w:pPr>
            <w:r w:rsidRPr="002C4689">
              <w:rPr>
                <w:rFonts w:ascii="Times New Roman" w:hAnsi="Times New Roman" w:cs="Times New Roman"/>
                <w:b/>
                <w:sz w:val="24"/>
                <w:szCs w:val="24"/>
              </w:rPr>
              <w:t>10.</w:t>
            </w:r>
          </w:p>
        </w:tc>
        <w:tc>
          <w:tcPr>
            <w:tcW w:w="7318" w:type="dxa"/>
          </w:tcPr>
          <w:p w:rsidR="00E637CA" w:rsidRPr="00872DDA"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лица, награжденные медалью "За оборону Ленинграда", знаком "Жителю блокадного Ленинграда", знаком "Житель осажденного Севастополя";</w:t>
            </w:r>
          </w:p>
        </w:tc>
        <w:tc>
          <w:tcPr>
            <w:tcW w:w="1435" w:type="dxa"/>
            <w:vAlign w:val="center"/>
          </w:tcPr>
          <w:p w:rsidR="00E637CA" w:rsidRPr="00A6674B" w:rsidRDefault="00E637CA" w:rsidP="00583128">
            <w:pPr>
              <w:jc w:val="center"/>
              <w:rPr>
                <w:rFonts w:ascii="Times New Roman" w:hAnsi="Times New Roman" w:cs="Times New Roman"/>
                <w:sz w:val="24"/>
                <w:szCs w:val="24"/>
              </w:rPr>
            </w:pPr>
            <w:r>
              <w:rPr>
                <w:rFonts w:ascii="Times New Roman" w:hAnsi="Times New Roman" w:cs="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11.</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вдовы (вдовцы) и родители погибших (умерших) инвалидов войны, участников Великой Отечественной войны, ветеранов боевых действий, погибших в Великой Отечественной войне лиц из числа личного состава групп самозащиты объектов и аварийных команд </w:t>
            </w:r>
            <w:r>
              <w:rPr>
                <w:rFonts w:ascii="Times New Roman" w:hAnsi="Times New Roman" w:cs="Times New Roman"/>
                <w:sz w:val="24"/>
                <w:szCs w:val="24"/>
              </w:rPr>
              <w:lastRenderedPageBreak/>
              <w:t>местной противовоздушной обороны, а также погибших работников госпиталей и больниц города Ленинграда;</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lastRenderedPageBreak/>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lastRenderedPageBreak/>
              <w:t>12.</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лица, работавшие на объектах противовоздушной обороны, местной противовоздушной обороны, на строительстве оборонных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членам экипажей судов транспортного флота, интернированным в начале Великой Отечественной войны в портах других государств;</w:t>
            </w:r>
            <w:proofErr w:type="gramEnd"/>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13.</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родители и жены военнослужащих, погибших вследствие ранения, контузии или увечья, полученных при защите СССР или при исполнении обязанностей военной службы, либо вследствие заболевания, связанного с пребыванием на фронте;</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14.</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бывшие несовершеннолетние узники концлагерей, гетто, других мест принудительного содержания, созданных фашистами и их союзниками в период</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торой мировой войны. Лица из числа данной категории граждан,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15.</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 том числе детям-инвалидам);</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16.</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17.</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инвалиды вследствие катастрофы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18.</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1986 - 1987 годах участие в ликвидации последствий аварии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19.</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принимавшие в 1988 - 1990 годах участие в ликвидации последствий аварии на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20.</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эвакуированные (в том числе выехавшие добровольно) в 1986 году из зоны отчуждения Чернобыльской АЭС;</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21.</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постоянно проживающие (работающие) на территории зоны проживания с льготным социально-экономическим статусом;</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22.</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ставшие инвалидами или получившие лучевую болезнь, другие заболевания, включенные в перечень заболеваний, связанных с радиацией, в результате воздействия радиации вследствие аварии в 1957 году на производственном объединении "Маяк" и сбросов радиоактивных отходов в реку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23.</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граждане, принимавшие в 1957 - 1958 годах участие в ликвидации последствий аварии на производственном объединении "Маяк", а </w:t>
            </w:r>
            <w:r>
              <w:rPr>
                <w:rFonts w:ascii="Times New Roman" w:hAnsi="Times New Roman" w:cs="Times New Roman"/>
                <w:sz w:val="24"/>
                <w:szCs w:val="24"/>
              </w:rPr>
              <w:lastRenderedPageBreak/>
              <w:t xml:space="preserve">также участвовавшие в работах по проведению защитных мероприятий по реабилитации радиоактивно загрязненных территорий вдоль реки </w:t>
            </w:r>
            <w:proofErr w:type="spellStart"/>
            <w:r>
              <w:rPr>
                <w:rFonts w:ascii="Times New Roman" w:hAnsi="Times New Roman" w:cs="Times New Roman"/>
                <w:sz w:val="24"/>
                <w:szCs w:val="24"/>
              </w:rPr>
              <w:t>Теча</w:t>
            </w:r>
            <w:proofErr w:type="spellEnd"/>
            <w:r>
              <w:rPr>
                <w:rFonts w:ascii="Times New Roman" w:hAnsi="Times New Roman" w:cs="Times New Roman"/>
                <w:sz w:val="24"/>
                <w:szCs w:val="24"/>
              </w:rPr>
              <w:t xml:space="preserve"> в 1949 - 1962 годах;</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lastRenderedPageBreak/>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lastRenderedPageBreak/>
              <w:t>24.</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подвергшиеся радиационному воздействию вследствие ядерных испытаний на Семипалатинском полигоне;</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sidRPr="002C4689">
              <w:rPr>
                <w:rFonts w:ascii="Times New Roman" w:hAnsi="Times New Roman"/>
                <w:b/>
                <w:sz w:val="24"/>
                <w:szCs w:val="24"/>
              </w:rPr>
              <w:t>25.</w:t>
            </w:r>
          </w:p>
        </w:tc>
        <w:tc>
          <w:tcPr>
            <w:tcW w:w="7318" w:type="dxa"/>
          </w:tcPr>
          <w:p w:rsidR="00E637CA" w:rsidRPr="00BF124D" w:rsidRDefault="00E637CA" w:rsidP="0058312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граждане из подразделений особого риска;</w:t>
            </w:r>
          </w:p>
        </w:tc>
        <w:tc>
          <w:tcPr>
            <w:tcW w:w="1435" w:type="dxa"/>
            <w:vAlign w:val="center"/>
          </w:tcPr>
          <w:p w:rsidR="00E637CA" w:rsidRPr="003C0875" w:rsidRDefault="00E637CA" w:rsidP="00583128">
            <w:pPr>
              <w:jc w:val="center"/>
              <w:rPr>
                <w:rFonts w:ascii="Times New Roman" w:hAnsi="Times New Roman"/>
                <w:sz w:val="24"/>
                <w:szCs w:val="24"/>
              </w:rPr>
            </w:pPr>
            <w:r>
              <w:rPr>
                <w:rFonts w:ascii="Times New Roman" w:hAnsi="Times New Roman"/>
                <w:sz w:val="24"/>
                <w:szCs w:val="24"/>
              </w:rPr>
              <w:t>446</w:t>
            </w:r>
          </w:p>
        </w:tc>
      </w:tr>
      <w:tr w:rsidR="00E637CA" w:rsidRPr="003C0875" w:rsidTr="00583128">
        <w:tc>
          <w:tcPr>
            <w:tcW w:w="592" w:type="dxa"/>
          </w:tcPr>
          <w:p w:rsidR="00E637CA" w:rsidRPr="002C4689" w:rsidRDefault="00E637CA" w:rsidP="00583128">
            <w:pPr>
              <w:rPr>
                <w:rFonts w:ascii="Times New Roman" w:hAnsi="Times New Roman"/>
                <w:b/>
                <w:sz w:val="24"/>
                <w:szCs w:val="24"/>
              </w:rPr>
            </w:pPr>
            <w:r>
              <w:rPr>
                <w:rFonts w:ascii="Times New Roman" w:hAnsi="Times New Roman"/>
                <w:b/>
                <w:sz w:val="24"/>
                <w:szCs w:val="24"/>
              </w:rPr>
              <w:t>26.</w:t>
            </w:r>
          </w:p>
        </w:tc>
        <w:tc>
          <w:tcPr>
            <w:tcW w:w="7318" w:type="dxa"/>
          </w:tcPr>
          <w:p w:rsidR="00E637CA" w:rsidRDefault="00E637CA" w:rsidP="00583128">
            <w:pPr>
              <w:autoSpaceDE w:val="0"/>
              <w:autoSpaceDN w:val="0"/>
              <w:adjustRightInd w:val="0"/>
              <w:jc w:val="both"/>
              <w:rPr>
                <w:rFonts w:ascii="Times New Roman" w:hAnsi="Times New Roman" w:cs="Times New Roman"/>
                <w:sz w:val="24"/>
                <w:szCs w:val="24"/>
              </w:rPr>
            </w:pPr>
            <w:proofErr w:type="gramStart"/>
            <w:r w:rsidRPr="001E0D68">
              <w:rPr>
                <w:rFonts w:ascii="Times New Roman" w:hAnsi="Times New Roman" w:cs="Times New Roman"/>
                <w:sz w:val="24"/>
                <w:szCs w:val="24"/>
              </w:rPr>
              <w:t>обучающи</w:t>
            </w:r>
            <w:r>
              <w:rPr>
                <w:rFonts w:ascii="Times New Roman" w:hAnsi="Times New Roman" w:cs="Times New Roman"/>
                <w:sz w:val="24"/>
                <w:szCs w:val="24"/>
              </w:rPr>
              <w:t>е</w:t>
            </w:r>
            <w:r w:rsidRPr="001E0D68">
              <w:rPr>
                <w:rFonts w:ascii="Times New Roman" w:hAnsi="Times New Roman" w:cs="Times New Roman"/>
                <w:sz w:val="24"/>
                <w:szCs w:val="24"/>
              </w:rPr>
              <w:t>ся</w:t>
            </w:r>
            <w:proofErr w:type="gramEnd"/>
            <w:r w:rsidRPr="001E0D68">
              <w:rPr>
                <w:rFonts w:ascii="Times New Roman" w:hAnsi="Times New Roman" w:cs="Times New Roman"/>
                <w:sz w:val="24"/>
                <w:szCs w:val="24"/>
              </w:rPr>
              <w:t xml:space="preserve"> общеобразовательных организаций из многодетных семей</w:t>
            </w:r>
            <w:r>
              <w:rPr>
                <w:rFonts w:ascii="Times New Roman" w:hAnsi="Times New Roman" w:cs="Times New Roman"/>
                <w:sz w:val="24"/>
                <w:szCs w:val="24"/>
              </w:rPr>
              <w:t>.</w:t>
            </w:r>
          </w:p>
        </w:tc>
        <w:tc>
          <w:tcPr>
            <w:tcW w:w="1435" w:type="dxa"/>
            <w:vAlign w:val="center"/>
          </w:tcPr>
          <w:p w:rsidR="00E637CA" w:rsidRDefault="00E637CA" w:rsidP="00583128">
            <w:pPr>
              <w:jc w:val="center"/>
              <w:rPr>
                <w:rFonts w:ascii="Times New Roman" w:hAnsi="Times New Roman"/>
                <w:sz w:val="24"/>
                <w:szCs w:val="24"/>
              </w:rPr>
            </w:pPr>
            <w:r>
              <w:rPr>
                <w:rFonts w:ascii="Times New Roman" w:hAnsi="Times New Roman"/>
                <w:sz w:val="24"/>
                <w:szCs w:val="24"/>
              </w:rPr>
              <w:t>0</w:t>
            </w:r>
          </w:p>
        </w:tc>
      </w:tr>
      <w:tr w:rsidR="00E637CA" w:rsidRPr="003C0875" w:rsidTr="00583128">
        <w:tc>
          <w:tcPr>
            <w:tcW w:w="592" w:type="dxa"/>
          </w:tcPr>
          <w:p w:rsidR="00E637CA" w:rsidRPr="002C4689" w:rsidRDefault="00E637CA" w:rsidP="00583128">
            <w:pPr>
              <w:rPr>
                <w:rFonts w:ascii="Times New Roman" w:hAnsi="Times New Roman"/>
                <w:b/>
                <w:sz w:val="24"/>
                <w:szCs w:val="24"/>
              </w:rPr>
            </w:pPr>
          </w:p>
        </w:tc>
        <w:tc>
          <w:tcPr>
            <w:tcW w:w="7318" w:type="dxa"/>
          </w:tcPr>
          <w:p w:rsidR="00E637CA" w:rsidRDefault="00E637CA" w:rsidP="00583128">
            <w:pPr>
              <w:autoSpaceDE w:val="0"/>
              <w:autoSpaceDN w:val="0"/>
              <w:adjustRightInd w:val="0"/>
              <w:jc w:val="both"/>
              <w:rPr>
                <w:rFonts w:ascii="Times New Roman" w:hAnsi="Times New Roman" w:cs="Times New Roman"/>
                <w:sz w:val="24"/>
                <w:szCs w:val="24"/>
              </w:rPr>
            </w:pPr>
          </w:p>
        </w:tc>
        <w:tc>
          <w:tcPr>
            <w:tcW w:w="1435" w:type="dxa"/>
            <w:vAlign w:val="center"/>
          </w:tcPr>
          <w:p w:rsidR="00E637CA" w:rsidRPr="003C0875" w:rsidRDefault="00E637CA" w:rsidP="00583128">
            <w:pPr>
              <w:jc w:val="center"/>
              <w:rPr>
                <w:rFonts w:ascii="Times New Roman" w:hAnsi="Times New Roman"/>
                <w:sz w:val="24"/>
                <w:szCs w:val="24"/>
              </w:rPr>
            </w:pPr>
          </w:p>
        </w:tc>
      </w:tr>
    </w:tbl>
    <w:p w:rsidR="00E637CA" w:rsidRPr="00563AF1" w:rsidRDefault="00E637CA" w:rsidP="00E637CA">
      <w:pPr>
        <w:rPr>
          <w:rFonts w:ascii="Times New Roman" w:hAnsi="Times New Roman" w:cs="Times New Roman"/>
          <w:sz w:val="24"/>
          <w:szCs w:val="24"/>
        </w:rPr>
      </w:pPr>
    </w:p>
    <w:p w:rsidR="003F5A03" w:rsidRDefault="003F5A03"/>
    <w:sectPr w:rsidR="003F5A03" w:rsidSect="009A1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37CA"/>
    <w:rsid w:val="003F5A03"/>
    <w:rsid w:val="00E63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7C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37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507" TargetMode="External"/><Relationship Id="rId3" Type="http://schemas.openxmlformats.org/officeDocument/2006/relationships/webSettings" Target="webSettings.xml"/><Relationship Id="rId7" Type="http://schemas.openxmlformats.org/officeDocument/2006/relationships/hyperlink" Target="https://login.consultant.ru/link/?req=doc&amp;base=LAW&amp;n=477399"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7406" TargetMode="External"/><Relationship Id="rId11" Type="http://schemas.openxmlformats.org/officeDocument/2006/relationships/fontTable" Target="fontTable.xml"/><Relationship Id="rId5" Type="http://schemas.openxmlformats.org/officeDocument/2006/relationships/hyperlink" Target="https://login.consultant.ru/link/?req=doc&amp;base=RLAW073&amp;n=429638&amp;dst=100461" TargetMode="External"/><Relationship Id="rId10" Type="http://schemas.openxmlformats.org/officeDocument/2006/relationships/hyperlink" Target="https://login.consultant.ru/link/?req=doc&amp;base=LAW&amp;n=474016&amp;dst=100034" TargetMode="External"/><Relationship Id="rId4" Type="http://schemas.openxmlformats.org/officeDocument/2006/relationships/hyperlink" Target="https://login.consultant.ru/link/?req=doc&amp;base=RLAW073&amp;n=429638&amp;dst=100459" TargetMode="External"/><Relationship Id="rId9" Type="http://schemas.openxmlformats.org/officeDocument/2006/relationships/hyperlink" Target="https://login.consultant.ru/link/?req=doc&amp;base=LAW&amp;n=474016&amp;dst=1003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1192</Words>
  <Characters>6796</Characters>
  <Application>Microsoft Office Word</Application>
  <DocSecurity>0</DocSecurity>
  <Lines>56</Lines>
  <Paragraphs>15</Paragraphs>
  <ScaleCrop>false</ScaleCrop>
  <Company>Ryazanadm</Company>
  <LinksUpToDate>false</LinksUpToDate>
  <CharactersWithSpaces>7973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TatyanaZh</dc:creator>
  <cp:lastModifiedBy>TatyanaZh</cp:lastModifiedBy>
  <cp:revision>1</cp:revision>
  <dcterms:created xsi:type="dcterms:W3CDTF">2024-07-10T04:52:00Z</dcterms:created>
  <dcterms:modified xsi:type="dcterms:W3CDTF">2024-07-10T04:54:00Z</dcterms:modified>
</cp:coreProperties>
</file>