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F3" w:rsidRDefault="00FD01F3" w:rsidP="00FD01F3">
      <w:pPr>
        <w:pStyle w:val="3"/>
        <w:spacing w:line="240" w:lineRule="auto"/>
        <w:rPr>
          <w:i/>
        </w:rPr>
      </w:pPr>
      <w:r>
        <w:t xml:space="preserve">Мониторинг </w:t>
      </w:r>
      <w:proofErr w:type="gramStart"/>
      <w:r>
        <w:t>реализации Плана стратегиче</w:t>
      </w:r>
      <w:r>
        <w:t>ского развития города Рязани</w:t>
      </w:r>
      <w:proofErr w:type="gramEnd"/>
      <w:r>
        <w:t xml:space="preserve"> до </w:t>
      </w:r>
      <w:bookmarkStart w:id="0" w:name="_GoBack"/>
      <w:bookmarkEnd w:id="0"/>
      <w:r>
        <w:t>2020 года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02270601"/>
      <w:bookmarkStart w:id="2" w:name="_Toc402270303"/>
      <w:bookmarkStart w:id="3" w:name="_Toc402270288"/>
      <w:bookmarkStart w:id="4" w:name="_Toc370166664"/>
      <w:bookmarkStart w:id="5" w:name="_Toc338252778"/>
      <w:r>
        <w:rPr>
          <w:rFonts w:ascii="Times New Roman" w:hAnsi="Times New Roman" w:cs="Times New Roman"/>
          <w:sz w:val="28"/>
          <w:szCs w:val="28"/>
        </w:rPr>
        <w:t>Мониторинг осуществлялся по двум уровням показателей: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уровень - ожидаемые ориентиры перспективного образа города в 2020 году, соответствующие стратегическим целям (приоритетам);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уровень - индикаторы реализации задач в рамках межотраслевых направлений реализации стратегического плана.</w:t>
      </w:r>
    </w:p>
    <w:bookmarkEnd w:id="1"/>
    <w:bookmarkEnd w:id="2"/>
    <w:bookmarkEnd w:id="3"/>
    <w:bookmarkEnd w:id="4"/>
    <w:bookmarkEnd w:id="5"/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данных мониторинга служат сведения структурных подразделений администрации города Рязани о достигнутых значениях целевых показателей за отчетный год.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мониторинга изменения в 2016 году значений показателей ожидаемых ориентиров перспективного образа города (2020 год) приведены в таблице. 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42"/>
        <w:gridCol w:w="1419"/>
        <w:gridCol w:w="1342"/>
        <w:gridCol w:w="1156"/>
        <w:gridCol w:w="1486"/>
        <w:gridCol w:w="1335"/>
      </w:tblGrid>
      <w:tr w:rsidR="00FD01F3" w:rsidTr="00FD01F3">
        <w:trPr>
          <w:trHeight w:val="83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Показатели </w:t>
            </w:r>
          </w:p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(ожидаемые ориентиры)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2008 год (базовый)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 год (отчетный)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 год (целевое значение)</w:t>
            </w:r>
          </w:p>
        </w:tc>
      </w:tr>
      <w:tr w:rsidR="00FD01F3" w:rsidTr="00FD01F3">
        <w:tc>
          <w:tcPr>
            <w:tcW w:w="10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Пространственное развитие</w:t>
            </w:r>
          </w:p>
        </w:tc>
      </w:tr>
      <w:tr w:rsidR="00FD01F3" w:rsidTr="00FD01F3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площадь территории</w:t>
            </w:r>
          </w:p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22416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22394,1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22394,1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34600</w:t>
            </w:r>
          </w:p>
        </w:tc>
      </w:tr>
      <w:tr w:rsidR="00FD01F3" w:rsidTr="00FD01F3">
        <w:trPr>
          <w:trHeight w:val="288"/>
        </w:trPr>
        <w:tc>
          <w:tcPr>
            <w:tcW w:w="10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Динамика и структура населения</w:t>
            </w:r>
          </w:p>
        </w:tc>
      </w:tr>
      <w:tr w:rsidR="00FD01F3" w:rsidTr="00FD01F3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численность населения (среднегодовая)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чел.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524,6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533,8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536,2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550,0</w:t>
            </w:r>
          </w:p>
        </w:tc>
      </w:tr>
      <w:tr w:rsidR="00FD01F3" w:rsidTr="00FD01F3">
        <w:trPr>
          <w:trHeight w:val="287"/>
        </w:trPr>
        <w:tc>
          <w:tcPr>
            <w:tcW w:w="10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жизни</w:t>
            </w:r>
          </w:p>
        </w:tc>
      </w:tr>
      <w:tr w:rsidR="00FD01F3" w:rsidTr="00FD01F3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покрытия прожиточного минимума уровнем среднемесячной заработной платы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</w:tr>
      <w:tr w:rsidR="00FD01F3" w:rsidTr="00FD01F3">
        <w:trPr>
          <w:trHeight w:val="275"/>
        </w:trPr>
        <w:tc>
          <w:tcPr>
            <w:tcW w:w="10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труда</w:t>
            </w:r>
          </w:p>
        </w:tc>
      </w:tr>
      <w:tr w:rsidR="00FD01F3" w:rsidTr="00FD01F3">
        <w:trPr>
          <w:trHeight w:val="27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Уровень безработицы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FD01F3" w:rsidTr="00FD01F3">
        <w:trPr>
          <w:trHeight w:val="418"/>
        </w:trPr>
        <w:tc>
          <w:tcPr>
            <w:tcW w:w="10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Экономика города</w:t>
            </w:r>
          </w:p>
        </w:tc>
      </w:tr>
      <w:tr w:rsidR="00FD01F3" w:rsidTr="00FD01F3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Индекс промышленного производства к уровню базового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110,4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125,0</w:t>
            </w:r>
          </w:p>
        </w:tc>
      </w:tr>
    </w:tbl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реализации задач Стратегического плана привязаны к конкретным задачам, поставленным в рамках основных стратегических направлений развития города. Достижение индикаторов осуществляется при помощи программно-целевого метода. Индикаторы должны достигаться посредством исполнения муниципальных программ, реализуемых в городе Рязани.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индикаторов реализации задач Стратегического плана в отчетном периоде (фактические значения на конец отчетного периода) приведен в таблице «Динамика индикаторов реализации задач в рамках Стратегического плана».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динамики показателей приводится сопоставление текущих данных мониторинга (фактические значения индикаторов в отчетном периоде) с плановыми значениями показателя отчетного периода и целевыми значениями показателя на конец реализации стратегического плана (2020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г.), а также приводится динамика показателя с уровнем предшествующего года и базовым уровнем 2008 года.</w:t>
      </w:r>
    </w:p>
    <w:p w:rsidR="00FD01F3" w:rsidRDefault="00FD01F3" w:rsidP="00FD01F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D01F3" w:rsidSect="00FD01F3">
          <w:pgSz w:w="11906" w:h="16838"/>
          <w:pgMar w:top="709" w:right="566" w:bottom="709" w:left="1276" w:header="425" w:footer="720" w:gutter="0"/>
          <w:cols w:space="720"/>
        </w:sectPr>
      </w:pPr>
    </w:p>
    <w:p w:rsidR="00FD01F3" w:rsidRDefault="00FD01F3" w:rsidP="00FD0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Динамика индикаторов реализации задач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Стратегического плана</w:t>
      </w:r>
    </w:p>
    <w:p w:rsidR="00FD01F3" w:rsidRDefault="00FD01F3" w:rsidP="00FD0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80"/>
        <w:gridCol w:w="6111"/>
        <w:gridCol w:w="992"/>
        <w:gridCol w:w="1134"/>
        <w:gridCol w:w="1276"/>
        <w:gridCol w:w="1418"/>
        <w:gridCol w:w="1559"/>
        <w:gridCol w:w="1275"/>
      </w:tblGrid>
      <w:tr w:rsidR="00FD01F3" w:rsidTr="00FD01F3">
        <w:trPr>
          <w:cantSplit/>
          <w:trHeight w:val="240"/>
          <w:tblHeader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№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/п</w:t>
            </w:r>
          </w:p>
        </w:tc>
        <w:tc>
          <w:tcPr>
            <w:tcW w:w="6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Индикатор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Единица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изме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-рения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2008 г.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(базовый)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2015 г.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2016 год (отчетный)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2020 г. (целевое значение)</w:t>
            </w:r>
          </w:p>
        </w:tc>
      </w:tr>
      <w:tr w:rsidR="00FD01F3" w:rsidTr="00FD01F3">
        <w:trPr>
          <w:cantSplit/>
          <w:trHeight w:val="572"/>
          <w:tblHeader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Целевое значение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Фактическое значение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1F3" w:rsidRDefault="00FD01F3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D01F3" w:rsidTr="00FD01F3">
        <w:trPr>
          <w:cantSplit/>
          <w:trHeight w:val="240"/>
          <w:tblHeader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</w:t>
            </w:r>
          </w:p>
        </w:tc>
        <w:tc>
          <w:tcPr>
            <w:tcW w:w="6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Направление: Развитие человеческого капитала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Развитие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 возрасте 1 - 6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4,9*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6,5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Отношение численности детей в возрасте от 3 до 7 лет, получающих дошкольное образование в текущем году, к сумме численности детей от 3 до 7 лет, получающих дошкольное образование в текущем году, и численности детей от 3 до 7 лет, находящихся в очереди на получение в текущем году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100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1.1.3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муниципальных общеобразовательных учреждений, соответствующих современным требованиям обучения, в общем количестве муниципальных общеобразовательных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83,0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1.1.4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детей от 5 до 18 лет, получающих услуги по дополнительному образованию в образовательных учреждениях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64,5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1.1.5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не менее 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не менее 97,0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1.1.6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школьников, обучающихся по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ФГОС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, в общей численности 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96,0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Развитие физкультуры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детей от 5 до 18 лет, получающих услуги по дополнительному образованию в учреждениях физкультуры и 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50,7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1.2.2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населения в возрасте от 3 до 79 лет, систематически занимающегося физкультурой и спортом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40,0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Развитие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1.3.1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детей от 5 до 18 лет, получающих услуги по дополнительному образованию в учреждениях сферы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15,0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1.3.2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населения, участвующего в общегородских культурно-досуговых мероприятиях, организованных органами местного самоуправления городских округов и муниципальных районов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20,0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Гармонизация межнациональных и межконфессиональных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1.4.1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Доля граждан, положительно оценивающих состояние межнациональных и межконфессиональных отношений в общем количестве граждан, проживающих на территории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54**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57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1.4.2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Уровень толерантного отношения к представителям другой национальности и вероисповедания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Направление: Экономический рост на основе инноваций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Экономическое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среднесписочной численности работников (без внешних совместителей) малых и средних предприятий в 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32,5***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не менее 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не менее 38,8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Объем инвестиций в основной капитал (без субъектов малого предпринимательства, параметров неформальной деятельности и за исключением бюджетных средств) в расчете на одного жителя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тыс.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39,6*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61,7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Направление: Качественная городская 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Развитие жилищно-коммунального комплекса и энергосбережение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Удельный вес общей площади жилого фонда, обеспеченной основными видами коммунальных услуг (водоснабжение, водоотведение, газоснабжение)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98,8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Удельная величина потребления энергетических ресурсов муниципальными бюджетными учреждениями, </w:t>
            </w:r>
          </w:p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3.1.2.1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электрическая энергия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кВт*ч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на</w:t>
            </w:r>
            <w:proofErr w:type="gramEnd"/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 кв. м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муници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пальной</w:t>
            </w:r>
            <w:proofErr w:type="spellEnd"/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21,0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3.1.2.2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тепловая энергия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Гкал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на</w:t>
            </w:r>
            <w:proofErr w:type="gramEnd"/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 кв. м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муници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пальной</w:t>
            </w:r>
            <w:proofErr w:type="spellEnd"/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0,180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3.1.2.3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горячая 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куб. м на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 кв. м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муници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пальной</w:t>
            </w:r>
            <w:proofErr w:type="spellEnd"/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0,22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3.1.2.4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холодная вода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куб.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метров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на</w:t>
            </w:r>
            <w:proofErr w:type="gramEnd"/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 кв. м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муници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пальной</w:t>
            </w:r>
            <w:proofErr w:type="spellEnd"/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0,90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3.1.2.5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природный газ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куб.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метров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на</w:t>
            </w:r>
            <w:proofErr w:type="gramEnd"/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 кв. м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муници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пальной</w:t>
            </w:r>
            <w:proofErr w:type="spellEnd"/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4,40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Благоустройство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3.2.1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Удельный вес улиц, обеспеченных уличным освещением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100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3.2.2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Площадь парков, скверов, бульваров и зеленых зон на территории города Рязани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550,0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3.2.3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Удельный вес улиц и дорог, убираемых механизированным способом: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в зимний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в летний период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не менее 100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3.3.1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45,0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1076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3.4.1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Доля муниципальных водных объектов, охваченных работами по их реабилитации, от общего количества муниципальных водных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60</w:t>
            </w:r>
          </w:p>
        </w:tc>
      </w:tr>
      <w:tr w:rsidR="00FD01F3" w:rsidTr="00FD01F3">
        <w:trPr>
          <w:cantSplit/>
          <w:trHeight w:val="1108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3.4.2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Количество территорий зеленого фонда, на которых проведены мероприятия по восстановлению зеленых насаждений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700</w:t>
            </w:r>
          </w:p>
        </w:tc>
      </w:tr>
      <w:tr w:rsidR="00FD01F3" w:rsidTr="00FD01F3">
        <w:trPr>
          <w:cantSplit/>
          <w:trHeight w:val="418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Развитие транспортной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835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3.5.1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Общая протяженность маршрутов общественного транспорта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510</w:t>
            </w:r>
          </w:p>
        </w:tc>
      </w:tr>
      <w:tr w:rsidR="00FD01F3" w:rsidTr="00FD01F3">
        <w:trPr>
          <w:cantSplit/>
          <w:trHeight w:val="695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3.5.2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Средняя скорость движения общественного транспорта по городу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км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17,0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Обеспечение безопасности и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3.6.1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Количество народных дружинников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не менее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не менее 450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3.6.2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Количество детей и подростков, принявших участие в мероприятиях, направленных на профилактику - безнадзорности и правонарушений несовершеннолетних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6100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Направление: Сбалансированное пространственное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Реализация жилищной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Общая площадь жилых помещений, приходящаяся в среднем на одного жителя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кв.</w:t>
            </w:r>
          </w:p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29,55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населения, получившего жилые помещения и улучшившего жилищные условия в отчетном году, в общей численности населения, состоящего на учете в качестве нуждающегося в жилых помещениях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3,1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Направление: Эффективный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Задача: Развитие муниципального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5.1.1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61,5</w:t>
            </w:r>
          </w:p>
        </w:tc>
      </w:tr>
      <w:tr w:rsidR="00FD01F3" w:rsidTr="00FD01F3">
        <w:trPr>
          <w:cantSplit/>
          <w:trHeight w:val="24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5.1.2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01F3" w:rsidRDefault="00FD01F3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 w:bidi="ar-SA"/>
              </w:rPr>
              <w:t>не менее 90</w:t>
            </w:r>
          </w:p>
        </w:tc>
      </w:tr>
    </w:tbl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* - значения показателей за 2015 год изменены в связи с уточнением данных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Рязаньстата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** - за 2016 год фактические значения индикатора отсутствуют в связи с тем, что начало действия муниципальной программы по гармонизации межнациональных и межконфессиональных отношений - 2017 год.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*** - значение показателя за 2015 год уточнено по результатам сплошного статистического наблюдения за деятельностью субъектов малого и среднего предпринимательства.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1F3" w:rsidRDefault="00FD01F3" w:rsidP="00FD01F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D01F3">
          <w:pgSz w:w="16838" w:h="11906" w:orient="landscape"/>
          <w:pgMar w:top="1276" w:right="1440" w:bottom="566" w:left="1440" w:header="425" w:footer="720" w:gutter="0"/>
          <w:cols w:space="720"/>
        </w:sectPr>
      </w:pP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Оценка динамики основных социально-экономических показателей 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>развития города Рязани в 2016 году.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Значение показателя «</w:t>
      </w:r>
      <w:r>
        <w:rPr>
          <w:rFonts w:ascii="Times New Roman" w:hAnsi="Times New Roman" w:cs="Times New Roman"/>
          <w:b/>
          <w:i/>
          <w:sz w:val="28"/>
          <w:szCs w:val="28"/>
        </w:rPr>
        <w:t>Общая площадь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 года – 22394,1 га. Границы территории муниципального образования – городской округ город Рязань утверждены Законом Рязанской области от 09.07.2008 г. № 77-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границы муниципального образования – городской округ город Рязань».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территории города Рязань по сравнению с прошлым годом не изменилась.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i/>
          <w:sz w:val="28"/>
          <w:szCs w:val="28"/>
        </w:rPr>
        <w:t>Общая среднегодовая 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в 2016 году составила 536,2 тыс. чел. Удельный вес в общей численности населения  Рязанской области составляет 47,7%. По сравнению с предыдущим годом и базовым (2008 г.) наблюдается прирост численности населения, что в первую очередь вызвано высоким миграционным притоком. При этом демографическая ситуация до сих пор характеризуется естественной убылью населения (превышением числа умерших над числом родившихся).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i/>
          <w:sz w:val="28"/>
          <w:szCs w:val="28"/>
        </w:rPr>
        <w:t>Уровень покрытия прожиточного минимума уровнем среднемесячной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составил 3,85 раза. По сравнению с 2015 годом наблюдается улучшение данного показателя за счет превышения темпов роста заработной платы по сравнению с темпами роста прожиточного минимума. Так, по итогам 2016 года величина прожиточного минимума на душу населения в Рязанской области составила 8658 рублей (в 2015 году - 8753 рубля). Рост по сравнению с прошлым годом – на 0,5%.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в крупных и средних организациях города в 2016 году увеличилась на 7,3% по сравнению с уровнем 2015 года и составила 33309,1 рубля (в 2015 году – 31 033,1 рубля (уточненная)).</w:t>
      </w:r>
    </w:p>
    <w:p w:rsidR="00FD01F3" w:rsidRDefault="00FD01F3" w:rsidP="00FD01F3">
      <w:pPr>
        <w:pStyle w:val="a3"/>
        <w:keepLines w:val="0"/>
        <w:tabs>
          <w:tab w:val="left" w:pos="5670"/>
          <w:tab w:val="left" w:pos="864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4) Сохраняется достаточно стабильная ситуация в сфере занятости. </w:t>
      </w:r>
      <w:r>
        <w:rPr>
          <w:rFonts w:ascii="Times New Roman" w:hAnsi="Times New Roman" w:cs="Times New Roman"/>
          <w:bCs w:val="0"/>
          <w:i/>
          <w:color w:val="auto"/>
          <w:lang w:eastAsia="ru-RU"/>
        </w:rPr>
        <w:t>Уровень зарегистрированной безработицы</w:t>
      </w:r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 в городе Рязани в 2016 году составил 0,38 %. По данному показателю на протяжении ряда лет мы занимаем лидирующие позиции среди городов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t>ЦФО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t>. В долгосрочной перспективе планируется сохранить уровень безработицы на низком уровне.</w:t>
      </w:r>
    </w:p>
    <w:p w:rsidR="00FD01F3" w:rsidRDefault="00FD01F3" w:rsidP="00FD01F3">
      <w:pPr>
        <w:pStyle w:val="a3"/>
        <w:keepLines w:val="0"/>
        <w:tabs>
          <w:tab w:val="left" w:pos="864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5). </w:t>
      </w:r>
      <w:r>
        <w:rPr>
          <w:rFonts w:ascii="Times New Roman" w:hAnsi="Times New Roman" w:cs="Times New Roman"/>
          <w:bCs w:val="0"/>
          <w:i/>
          <w:color w:val="auto"/>
          <w:lang w:eastAsia="ru-RU"/>
        </w:rPr>
        <w:t>Индекс промышленного производства к уровню базового года</w:t>
      </w:r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 характеризует динамику объема промышленного производства с 2008 года. </w:t>
      </w:r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br/>
        <w:t xml:space="preserve">В 2016 году он составил  112,3 % (в 2015 году - 110,4 %). </w:t>
      </w:r>
    </w:p>
    <w:p w:rsidR="00FD01F3" w:rsidRDefault="00FD01F3" w:rsidP="00FD01F3">
      <w:pPr>
        <w:pStyle w:val="21"/>
        <w:tabs>
          <w:tab w:val="left" w:pos="9781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Рост  показателя связан с тем, что в 2016 году объемы</w:t>
      </w:r>
      <w:r>
        <w:rPr>
          <w:sz w:val="28"/>
          <w:szCs w:val="28"/>
        </w:rPr>
        <w:t xml:space="preserve"> промышленного производства увеличились на 1,7% относительно уровня предыдущего </w:t>
      </w:r>
      <w:r>
        <w:rPr>
          <w:rFonts w:eastAsia="Calibri"/>
          <w:sz w:val="28"/>
          <w:szCs w:val="28"/>
        </w:rPr>
        <w:t xml:space="preserve">года.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bookmarkStart w:id="6" w:name="_Toc402270603"/>
      <w:bookmarkStart w:id="7" w:name="_Toc402270313"/>
      <w:bookmarkStart w:id="8" w:name="_Toc402270298"/>
      <w:bookmarkStart w:id="9" w:name="_Toc370166669"/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  <w:r>
        <w:rPr>
          <w:rFonts w:ascii="Times New Roman" w:hAnsi="Times New Roman"/>
          <w:sz w:val="28"/>
          <w:szCs w:val="26"/>
          <w:u w:val="single"/>
        </w:rPr>
        <w:t xml:space="preserve">Оценка </w:t>
      </w:r>
      <w:proofErr w:type="gramStart"/>
      <w:r>
        <w:rPr>
          <w:rFonts w:ascii="Times New Roman" w:hAnsi="Times New Roman"/>
          <w:sz w:val="28"/>
          <w:szCs w:val="26"/>
          <w:u w:val="single"/>
        </w:rPr>
        <w:t>динамики целевых показателей реализации задач</w:t>
      </w:r>
      <w:r>
        <w:rPr>
          <w:rFonts w:ascii="Times New Roman" w:hAnsi="Times New Roman"/>
          <w:sz w:val="28"/>
          <w:szCs w:val="26"/>
          <w:u w:val="single"/>
        </w:rPr>
        <w:br/>
        <w:t xml:space="preserve"> Плана стратегического развития города Рязани</w:t>
      </w:r>
      <w:proofErr w:type="gramEnd"/>
      <w:r>
        <w:rPr>
          <w:rFonts w:ascii="Times New Roman" w:hAnsi="Times New Roman"/>
          <w:sz w:val="28"/>
          <w:szCs w:val="26"/>
          <w:u w:val="single"/>
        </w:rPr>
        <w:t xml:space="preserve"> до 2020 года. </w:t>
      </w:r>
      <w:r>
        <w:rPr>
          <w:rFonts w:ascii="Times New Roman" w:hAnsi="Times New Roman"/>
          <w:sz w:val="28"/>
          <w:szCs w:val="26"/>
          <w:u w:val="single"/>
        </w:rPr>
        <w:br/>
        <w:t xml:space="preserve"> Количественный и качественный анализ отклонений от целевых показателей.</w:t>
      </w:r>
      <w:bookmarkEnd w:id="6"/>
      <w:bookmarkEnd w:id="7"/>
      <w:bookmarkEnd w:id="8"/>
      <w:bookmarkEnd w:id="9"/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Направление: Развитие человеческого капитала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Задача: Развитие образования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детей в возрасте 1- 6 лет, состоящих на учете для определения в муниципальные дошкольные образовательные учреждения в общей численности детей в возрасте 1- 6 лет</w:t>
      </w:r>
      <w:r>
        <w:rPr>
          <w:rFonts w:ascii="Times New Roman" w:hAnsi="Times New Roman" w:cs="Times New Roman"/>
          <w:sz w:val="28"/>
          <w:szCs w:val="28"/>
        </w:rPr>
        <w:t xml:space="preserve"> в 2016 году составила 6,2% (2020 человек). Отклонение фактического значения индикатора от целевого значения (7,2%) составило 1 процентный пункт. Улучшение показателя относительно планового значения достигнуто за счет введения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2016 году 275 дополнительных мест за счет открытия 6 дополнительных групп - 145 мест (детские сады №№ 4,112,119,121,130), а также за счет перепрофилирования и оптимизации комплектования групп внутри дошкольных образовательных учреждений – 130 мест.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1.1.2) </w:t>
      </w:r>
      <w:r>
        <w:rPr>
          <w:rFonts w:ascii="Times New Roman" w:hAnsi="Times New Roman" w:cs="Times New Roman"/>
          <w:b/>
          <w:i/>
          <w:sz w:val="28"/>
          <w:szCs w:val="28"/>
        </w:rPr>
        <w:t>Отношение численности детей в возрасте от 3 до 7 лет, получающих дошкольное образование в текущем году, к сумме численности детей от 3 до 7 лет, получающих дошкольное образование в текущем году, и численности детей от 3 до 7 лет, находящихся в очереди на получение в текущем году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составило 99,9%. Показатель характеризует доступность дошкольного образования для детей 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возрастной категории. Отклонение фактического значения показателя от планируемого (100%) составило 0,1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не было достигнуто за счет того, что родители (законные представители) 32 детей данной возрастной категории, находящихся в очереди, неоднократно отказывались от предложенных мест в детских садах, расположенных в других микрорайонах города. Дети, не обеспеченные местами в детских садах, проживают в микрорайонах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ДПР-</w:t>
      </w:r>
      <w:proofErr w:type="spellStart"/>
      <w:r>
        <w:rPr>
          <w:rFonts w:ascii="Times New Roman" w:hAnsi="Times New Roman" w:cs="Times New Roman"/>
          <w:sz w:val="28"/>
          <w:szCs w:val="28"/>
        </w:rPr>
        <w:t>5,5А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центре города Рязани.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время, дошкольные образовательные учреждения города Рязани предоставляли более 900 вакантных мест, в том числе 260 - для детей 2013 года рождения.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1.1.3)</w:t>
      </w:r>
      <w:r>
        <w:rPr>
          <w:rFonts w:ascii="Times New Roman" w:hAnsi="Times New Roman" w:cs="Times New Roman"/>
          <w:b/>
          <w:i/>
          <w:sz w:val="28"/>
          <w:szCs w:val="28"/>
        </w:rPr>
        <w:t> 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в 2016 году составила 83,2%, что выше запланированного значения на 0,6 процентных пункта.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показателя достигнуто за счет сокращения значительного количества вакантных должностей в образовательных учреждениях и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 детей-инвалидов в школе №49, в которой проведен ремонт входной группы и установлен пандус.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детей от 5 до 18 лет, получающих услуги по дополнительному образованию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в 2016 году составила 62%,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ниже целевого значения индикатора на 0,5 процентных пункта. При этом, несмотря на увеличение численности детей данной возрастной категории,  показатель соответствует уровню 2015 года.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выпускников муниципальных общеобразовательных учреждений, сдавших единый государственный экзамен (ЕГЭ) по русскому языку и математике, в общей численности выпускников муниципальных общеобразовательных учреждений, сдававших единый государственный экзамен по данным предметам,</w:t>
      </w:r>
      <w:r>
        <w:rPr>
          <w:rFonts w:ascii="Times New Roman" w:hAnsi="Times New Roman" w:cs="Times New Roman"/>
          <w:sz w:val="28"/>
          <w:szCs w:val="28"/>
        </w:rPr>
        <w:t xml:space="preserve"> составила 99,8%, что соответствует целевому значению показателя (не ниже 97%). Высокое значение показателя связано с предоставлением возможности пересдачи экзаменов в сентябре в случае получения выпускниками неудовлетворительной оценки.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Доля школьников, обучающихся 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в общей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численности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2016 году составила 67,2%, что превышает целевое значение на 2,2 процентных пункта. Динамика показателя отражает плановую деятельность по внедрению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города. Превышение целевого значения обусловлено увеличением количества первоклассников и апробацией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7-9 классах в 5 образовательных учреждениях (№№ 3, 4, 51,69, 72).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1.2) </w:t>
      </w:r>
      <w:r>
        <w:rPr>
          <w:rFonts w:ascii="Times New Roman" w:hAnsi="Times New Roman" w:cs="Times New Roman"/>
          <w:b/>
          <w:i/>
          <w:sz w:val="28"/>
          <w:szCs w:val="28"/>
        </w:rPr>
        <w:t>Задача: Развитие физкультуры и массового спорта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детей от 5 до 18 лет, получающих услуги по дополнительному образованию в учреждениях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, составила 52,3%, что на 3 процентных пункта превышает плановое значение.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достижения индикатора связано с высокими показателями численности при наборе обучающихся в учреждениях физкультуры и спорта, в том числе по новым направлениям: художественная гимнастика в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СДЮСШОР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«Антей», биатлон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СДЮСШОР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«Вымпел», а также в связи с открытием </w:t>
      </w:r>
      <w:r>
        <w:rPr>
          <w:rFonts w:ascii="Times New Roman" w:hAnsi="Times New Roman" w:cs="Times New Roman"/>
          <w:sz w:val="28"/>
          <w:szCs w:val="28"/>
        </w:rPr>
        <w:br/>
        <w:t>в предыдущем году новых спортивных залов в 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«Орион»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«Золотые купола».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1.2.2)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населения в возрасте от 3 до 79 лет, систематически занимающегося физкультурой и спортом,</w:t>
      </w:r>
      <w:r>
        <w:rPr>
          <w:rFonts w:ascii="Times New Roman" w:hAnsi="Times New Roman" w:cs="Times New Roman"/>
          <w:sz w:val="28"/>
          <w:szCs w:val="28"/>
        </w:rPr>
        <w:t xml:space="preserve"> составила 36,4%, что превышает целевое значение на 1,3 процентных пункта.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 показателя сложился за счет привлечения населения к здоровому образу жизни и занятиям физической культурой в рамках 4 муниципальных проектов «Бежим круглый год», «Защити себя сам», «Единство в спорте», «ГТО», а также официальному началу приема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ВФСК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«ГТО».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Развитие культуры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детей от 5 до 18 лет, получающих услуги по дополнительному образованию в учреждениях сферы культуры</w:t>
      </w:r>
      <w:r>
        <w:rPr>
          <w:rFonts w:ascii="Times New Roman" w:hAnsi="Times New Roman" w:cs="Times New Roman"/>
          <w:sz w:val="28"/>
          <w:szCs w:val="28"/>
        </w:rPr>
        <w:t xml:space="preserve">, составила в 2016 году 10,5%, что соответствует плановому значению индикатора. Достижение индикатора произошло за счет увеличения на 100 единиц контингента учащихся в учреждениях дополнительного образования (в детских школах искусств №№ 2, 3, 7, 9 и детской музыкальной школе №1), а также за счет увеличения количества детей, посещающих кружки и студии учреждений культуры.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населения, участвующего в общегородских культурно-досуговых мероприятиях, организованных органами местного самоуправления городского округа</w:t>
      </w:r>
      <w:r>
        <w:rPr>
          <w:rFonts w:ascii="Times New Roman" w:hAnsi="Times New Roman" w:cs="Times New Roman"/>
          <w:sz w:val="28"/>
          <w:szCs w:val="28"/>
        </w:rPr>
        <w:t>, составила в 2016 году 23,8%, что существенно превышает плановое значение (13,1%).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в связи с проведением в 2016 году крупных культурно-досуговых проектов на улицах и площадях города, которые посетило более 128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рязанцев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Наиболее массовыми мероприятиями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«Фестивальное лето.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Встречи на Почтовой», народные гуляния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«Первомайская демонстрация», «Здравствуй мир», концерт «Победный май», военно-спортивный праздник «Рязань-столица ВДВ» и другие.</w:t>
      </w:r>
      <w:proofErr w:type="gramEnd"/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Направление: Экономический рост на основе инноваций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Экономическое развитие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2.1.1)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составила 36,6%, что ниже планового значения на 2,2 процентных пункта.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за 2015 год уточнен по результатам сплошного статистического наблюдения за деятельностью субъектов малого и среднего предпринимательства и составил 32,5%, что объясняется ухудшением экономической ситуации и снижением экономической активности предпринимательского сообщества. В 2015 году в городе Рязани насчитывалось 23,6 тыс. субъектов малого и среднего предпринимательства.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2016 года их количество увеличилось до 26,6 тыс. единиц (по данным Единого реестра субъектов малого и среднего предпринимательства). В дальнейшем не прогнозируется существенного роста количества субъектов малого и среднего предпринимательства города Рязани, в 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плановые значения показателя целесообразно скорректировать.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Объем инвестиций в основной капитал (без субъектов малого предпринимательства, параметров неформальной деятельности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и за исключением бюджетных средств) в расчете на одного жителя </w:t>
      </w:r>
      <w:r>
        <w:rPr>
          <w:rFonts w:ascii="Times New Roman" w:hAnsi="Times New Roman" w:cs="Times New Roman"/>
          <w:sz w:val="28"/>
          <w:szCs w:val="28"/>
        </w:rPr>
        <w:t xml:space="preserve">в отчетном году составил 38,5 тыс. рублей. Фактическое значение индикатора ниже планового значения на 4 тыс. руб. К уровню прошлого года значение показателя снизилось на 2,8%, что связано с общим снижением объема инвестиций в основной капитал в городе Рязани в условиях негативных явлений в российской экономике.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Направление: Качественная городская среда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Развитие жилищно-коммунального комплекса и энергосбережение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3.1.1) </w:t>
      </w:r>
      <w:r>
        <w:rPr>
          <w:rFonts w:ascii="Times New Roman" w:hAnsi="Times New Roman" w:cs="Times New Roman"/>
          <w:b/>
          <w:i/>
          <w:sz w:val="28"/>
          <w:szCs w:val="28"/>
        </w:rPr>
        <w:t>Удельный вес общей площади жилого фонда, обеспеченной  основными видами коммунальных услуг (водоснабжение, водоотведение, газоснабжение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составил 96,5 %, что на 0,1 процентного пункта выше уровня 2015 года.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данного показателя определяется на основании формы статистической отчетности № 1-жилфонд. Из рассматриваемых видов оборудования жилого фонда наименьшее значение сложилось по водоотведению 96,5%. Водоснабжением обеспечено 97,1 % жилого фонда, газом – 98,6%.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3.1.2) Показатель «</w:t>
      </w:r>
      <w:r>
        <w:rPr>
          <w:rFonts w:ascii="Times New Roman" w:hAnsi="Times New Roman" w:cs="Times New Roman"/>
          <w:b/>
          <w:i/>
          <w:sz w:val="28"/>
          <w:szCs w:val="28"/>
        </w:rPr>
        <w:t>Удельная величина потребления энергетических ресурсов муниципальными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>» рассчитывается на основании данных о потреблении энергоресурсов муниципальными бюджетными учреждениями и данных о площади муниципальных бюджетных учреждений. Площадь зданий и помещений бюджетных учреждений, используемая для расчетов составила 643,5 тыс. кв. м.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достигнуты следующие значения индикатора по видам энергетических ресурсов: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электрическая энергия</w:t>
      </w:r>
      <w:r>
        <w:rPr>
          <w:rFonts w:ascii="Times New Roman" w:hAnsi="Times New Roman" w:cs="Times New Roman"/>
          <w:sz w:val="28"/>
          <w:szCs w:val="28"/>
        </w:rPr>
        <w:t xml:space="preserve"> – 23,9 кВт*ч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площади, при плановом значении 22,1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кВт*ч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тепловая энергия</w:t>
      </w:r>
      <w:r>
        <w:rPr>
          <w:rFonts w:ascii="Times New Roman" w:hAnsi="Times New Roman" w:cs="Times New Roman"/>
          <w:sz w:val="28"/>
          <w:szCs w:val="28"/>
        </w:rPr>
        <w:t xml:space="preserve"> – 0,189 Гкал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площади,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плановом значении 0,190 Гкал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горячая вода</w:t>
      </w:r>
      <w:r>
        <w:rPr>
          <w:rFonts w:ascii="Times New Roman" w:hAnsi="Times New Roman" w:cs="Times New Roman"/>
          <w:sz w:val="28"/>
          <w:szCs w:val="28"/>
        </w:rPr>
        <w:t xml:space="preserve"> – 0,21 куб. м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площади, при плановом значении 0,24 куб. м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холодная вода</w:t>
      </w:r>
      <w:r>
        <w:rPr>
          <w:rFonts w:ascii="Times New Roman" w:hAnsi="Times New Roman" w:cs="Times New Roman"/>
          <w:sz w:val="28"/>
          <w:szCs w:val="28"/>
        </w:rPr>
        <w:t xml:space="preserve"> – 0,86 куб. м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площади, при плановом значении 0,93 куб. м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природный газ</w:t>
      </w:r>
      <w:r>
        <w:rPr>
          <w:rFonts w:ascii="Times New Roman" w:hAnsi="Times New Roman" w:cs="Times New Roman"/>
          <w:sz w:val="28"/>
          <w:szCs w:val="28"/>
        </w:rPr>
        <w:t xml:space="preserve"> – 3,6 куб. м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площади, при плановом значении 4,5 куб. м на 1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планового показателя превышено только по электроэнергии. Это объясняется увеличением количества техники и приборов, использующих электрическую энергию (компьютеры, оргтехника, кондиционеры и бытовые электроприборы).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плановых значений индикаторов по остальным видам ресурсов происходит за счет их рационального использования муниципальными бюджетными учреждениями и реализации мероприятий по энергосбережению. </w:t>
      </w:r>
    </w:p>
    <w:p w:rsidR="00FD01F3" w:rsidRDefault="00FD01F3" w:rsidP="00FD01F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Благоустройство города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3.2.1) </w:t>
      </w:r>
      <w:r>
        <w:rPr>
          <w:rFonts w:ascii="Times New Roman" w:hAnsi="Times New Roman" w:cs="Times New Roman"/>
          <w:b/>
          <w:i/>
          <w:sz w:val="28"/>
          <w:szCs w:val="28"/>
        </w:rPr>
        <w:t>Удельный вес улиц, обеспеченных уличным освещением</w:t>
      </w:r>
      <w:r>
        <w:rPr>
          <w:rFonts w:ascii="Times New Roman" w:hAnsi="Times New Roman" w:cs="Times New Roman"/>
          <w:sz w:val="28"/>
          <w:szCs w:val="28"/>
        </w:rPr>
        <w:t>, в 2016 году составил 81,2 %, что выше планового значения индикатора на 0,4 процентных пункта. По сравнению с 2015 годом показатель улучшился на 5,2 процентных пункта в связи со строительством сетей наружного освещения на ул. Коняева и Ряжском шоссе.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3.2.2) </w:t>
      </w:r>
      <w:r>
        <w:rPr>
          <w:rFonts w:ascii="Times New Roman" w:hAnsi="Times New Roman" w:cs="Times New Roman"/>
          <w:b/>
          <w:i/>
          <w:sz w:val="28"/>
          <w:szCs w:val="28"/>
        </w:rPr>
        <w:t>Площадь парков, скверов, бульваров и зеленых зон на территории города Рязани</w:t>
      </w:r>
      <w:r>
        <w:rPr>
          <w:rFonts w:ascii="Times New Roman" w:hAnsi="Times New Roman" w:cs="Times New Roman"/>
          <w:sz w:val="28"/>
          <w:szCs w:val="28"/>
        </w:rPr>
        <w:t xml:space="preserve"> составила 527,2 га, что соответствует плановому значению показателя. В 2016 году созданы и благоустроены две зоны отдыха: скверы на улице Лермонтова (напротив радиозавода) 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шоссе, 48- 50.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3.2.3) </w:t>
      </w:r>
      <w:r>
        <w:rPr>
          <w:rFonts w:ascii="Times New Roman" w:hAnsi="Times New Roman" w:cs="Times New Roman"/>
          <w:b/>
          <w:i/>
          <w:sz w:val="28"/>
          <w:szCs w:val="28"/>
        </w:rPr>
        <w:t>Удельный вес улиц и дорог, убираемых механизированным способом</w:t>
      </w:r>
      <w:r>
        <w:rPr>
          <w:rFonts w:ascii="Times New Roman" w:hAnsi="Times New Roman" w:cs="Times New Roman"/>
          <w:sz w:val="28"/>
          <w:szCs w:val="28"/>
        </w:rPr>
        <w:t>, составляет: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– 70 %, что соответствует плановому значению показателя и выше уровня 2015 года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пункта;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 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– 100 %, что соответствует плановому значению показателя и уровню 2015 года.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Дорожное хозяйство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2016 году составила 56,7%, что превышает плановое значение на 1,3 процентных пункта. По сравнению с прошлым годом данный показатель улучшился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4,1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пункта. В 2016 году увеличилась общая протяженность дорог и составила 501,5 км. Для обеспечения нормативного состояния автодорог в городе в 2016 году выполнены мероприятия по содержанию, ремонту и капитальному ремонту дорог. Общая протяженность отремонтированных автодорог составила 40 км. Выполнены работы по ремонту 47 участков улично-дорожной сети города Рязани.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Охрана окружающей среды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муниципальных водных объектов, охваченных работами по их реабилитации, от общего количества муниципальных водных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составила в 2016 году 23%, что выше планового значению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а 1 процентный пункт. В 2016 году проведена санитарная очистка береговых полос 3-х муниципальных водных объектов: одного в районе ул. Октябрьский городок, 32 и двух в микрорайоне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Дягилево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районе зеленой зоны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 Общая площадь реабилитированных водоемов с прилегающими к ним территориями 5800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территорий зеленого фонда, на которых проведены мероприятия по восстановлению зеленых насаждений (нарастающим итогом) </w:t>
      </w:r>
      <w:r>
        <w:rPr>
          <w:rFonts w:ascii="Times New Roman" w:hAnsi="Times New Roman" w:cs="Times New Roman"/>
          <w:sz w:val="28"/>
          <w:szCs w:val="28"/>
        </w:rPr>
        <w:t>составило в 2016 году 479 ед., что превышает плановое значение показателя</w:t>
      </w:r>
      <w:r>
        <w:rPr>
          <w:rFonts w:ascii="Times New Roman" w:hAnsi="Times New Roman" w:cs="Times New Roman"/>
          <w:sz w:val="28"/>
          <w:szCs w:val="28"/>
        </w:rPr>
        <w:br/>
        <w:t>на 2 единицы. В 2016 году проведены работы по посадке (восстановлению) зеленых насаждений на 55 территориях зеленого фонда. Произведена посадка около 10 000 единиц деревьев и кустарников.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Развитие транспортной системы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3.5.1) </w:t>
      </w:r>
      <w:r>
        <w:rPr>
          <w:rFonts w:ascii="Times New Roman" w:hAnsi="Times New Roman" w:cs="Times New Roman"/>
          <w:b/>
          <w:i/>
          <w:sz w:val="28"/>
          <w:szCs w:val="28"/>
        </w:rPr>
        <w:t>Общая протяженность маршрутов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в 2016 году составила 467,3 км. Фактическое значение индикатора на 12,7 км меньше планового значения. По сравнению с 2015 годом протяженность уменьшилась на 6 км за счет переноса конечных пунктов и изменения пути следования на автобусных маршрутах №№ 1, 5, 24.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3.5.2) С</w:t>
      </w:r>
      <w:r>
        <w:rPr>
          <w:rFonts w:ascii="Times New Roman" w:hAnsi="Times New Roman" w:cs="Times New Roman"/>
          <w:b/>
          <w:i/>
          <w:sz w:val="28"/>
          <w:szCs w:val="28"/>
        </w:rPr>
        <w:t>редняя скорость движения общественного транспорта по городу</w:t>
      </w:r>
      <w:r>
        <w:rPr>
          <w:rFonts w:ascii="Times New Roman" w:hAnsi="Times New Roman" w:cs="Times New Roman"/>
          <w:sz w:val="28"/>
          <w:szCs w:val="28"/>
        </w:rPr>
        <w:t xml:space="preserve"> составила 14,5 км/ч, что на 0,5 км/ч ниже планового значения и соответствует уровню 2015 года. По данным, полученным с помощью навигационно-связного оборудования, время простоя транспорта в заторах не сократилось.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Обеспечение безопасности и общественного порядка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3.6.1) </w:t>
      </w:r>
      <w:r>
        <w:rPr>
          <w:rFonts w:ascii="Times New Roman" w:hAnsi="Times New Roman" w:cs="Times New Roman"/>
          <w:b/>
          <w:i/>
          <w:sz w:val="28"/>
          <w:szCs w:val="28"/>
        </w:rPr>
        <w:t>Количество народных дружинников</w:t>
      </w:r>
      <w:r>
        <w:rPr>
          <w:rFonts w:ascii="Times New Roman" w:hAnsi="Times New Roman" w:cs="Times New Roman"/>
          <w:sz w:val="28"/>
          <w:szCs w:val="28"/>
        </w:rPr>
        <w:t xml:space="preserve"> в 2016 году составило 559 человек, что превышает плановое значение (не менее 450 человек) на 109 человек. Активное участие населения в охране общественного порядка связано со сложившейся практикой премирования народных дружинников.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3.6.2) </w:t>
      </w:r>
      <w:r>
        <w:rPr>
          <w:rFonts w:ascii="Times New Roman" w:hAnsi="Times New Roman" w:cs="Times New Roman"/>
          <w:b/>
          <w:i/>
          <w:sz w:val="28"/>
          <w:szCs w:val="28"/>
        </w:rPr>
        <w:t>Количество детей и подростков, принявших участие в мероприятиях, направленных на профилактику безнадзорности и 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, в 2016 году составило 6180 человек, что превышает плановое значение на 480 человек. Индикатор превышен в связи с проведением дополнительных мероприятий по месту жительства префектурами.</w:t>
      </w:r>
    </w:p>
    <w:p w:rsidR="00FD01F3" w:rsidRDefault="00FD01F3" w:rsidP="00FD01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Направление: Сбалансированное пространственное развитие</w:t>
      </w:r>
    </w:p>
    <w:p w:rsidR="00FD01F3" w:rsidRDefault="00FD01F3" w:rsidP="00FD01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Реализация жилищной политики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4.1.1) </w:t>
      </w:r>
      <w:r>
        <w:rPr>
          <w:rFonts w:ascii="Times New Roman" w:hAnsi="Times New Roman" w:cs="Times New Roman"/>
          <w:b/>
          <w:i/>
          <w:sz w:val="28"/>
          <w:szCs w:val="28"/>
        </w:rPr>
        <w:t>Общая площадь жилых помещений, приходящаяся в среднем на одного жителя</w:t>
      </w:r>
      <w:r>
        <w:rPr>
          <w:rFonts w:ascii="Times New Roman" w:hAnsi="Times New Roman" w:cs="Times New Roman"/>
          <w:sz w:val="28"/>
          <w:szCs w:val="28"/>
        </w:rPr>
        <w:t xml:space="preserve"> (расчетная) в 2016 году составила 27 кв. м, что несущественно превышает плановое значение показателя на 0,05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выше уровня 2015 года на 0,7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2016 году было введено в эксплуатацию 437 тыс. кв. м жилья, что на 13,5% больше уровня 2015 года. 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4.1.2)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 учете в качестве нуждающегося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2016 году составила 4,88%, что на 1,72 процентных пункта превышает уровень 2015 года и выше планового значения на 2,68 процентных пункта.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численность населения, состоящего на учете в качестве нуждающегося в улучшении жилищных условий, в 2016 году составила 22420 чел. (в 2015 г. – 22560 чел.),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населения, получившего жилые помещения и улучшившего жилищные условия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1096 чел. (в 2015 г. - 712 чел.).</w:t>
      </w:r>
    </w:p>
    <w:p w:rsidR="00FD01F3" w:rsidRDefault="00FD01F3" w:rsidP="00FD01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Направление: Эффективный менеджмент</w:t>
      </w:r>
    </w:p>
    <w:p w:rsidR="00FD01F3" w:rsidRDefault="00FD01F3" w:rsidP="00FD01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Задача: Развитие муниципального управления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5.1.1) </w:t>
      </w:r>
      <w:r>
        <w:rPr>
          <w:rFonts w:ascii="Times New Roman" w:hAnsi="Times New Roman" w:cs="Times New Roman"/>
          <w:b/>
          <w:i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2016 году по сравнению с прошлым годом увеличилась </w:t>
      </w:r>
      <w:r>
        <w:rPr>
          <w:rFonts w:ascii="Times New Roman" w:hAnsi="Times New Roman" w:cs="Times New Roman"/>
          <w:sz w:val="28"/>
          <w:szCs w:val="28"/>
        </w:rPr>
        <w:br/>
        <w:t>на 1,2 процентных пункта и составила 61,8% и на 1,1 процентных пункта выше планового значения индикатора. Рост показателя произошел за счет формирования и оформления в собственность земельных участков организациями и физическими лицами. Площадь земельных участков, являющаяся объектом налогообложения земельным налогом, на  территории  городского округа составила 13844,3 га.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5.1.2) </w:t>
      </w:r>
      <w:r>
        <w:rPr>
          <w:rFonts w:ascii="Times New Roman" w:hAnsi="Times New Roman" w:cs="Times New Roman"/>
          <w:b/>
          <w:i/>
          <w:sz w:val="28"/>
          <w:szCs w:val="28"/>
        </w:rPr>
        <w:t>Уровень удовлетворенности граждан качеством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2016 году составил 87,9% (при плане 80%). В 2015 году данный показатель достигал значения 97%. Причинами снижения уровня удовлетворенности, исходя из анализа результатов опроса, являются невысокие (не максимальные) оценки респондентов показателей «время ожидания в очереди», «место расположения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«комфортность нахождения в помещении». Снижение данных оценок могло произойти из-за увеличения посещаемости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МФЦ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 расширения спектра оказываемых государственных и муниципальных услуг.</w:t>
      </w:r>
    </w:p>
    <w:p w:rsidR="00FD01F3" w:rsidRDefault="00FD01F3" w:rsidP="00FD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динамики целевых показателей реализации задач Стратегического плана показала, что по большинству показателей фактические значения соответствуют 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, или наблюдаются минимальные отклонения. При этом реализация Стратегического плана в 2016 году характеризуется положительной динамикой большинства показателей относительно уровня 2015 года, что позволяет сделать вывод об эффективности деятельности администрации по реализации задач Стратегического плана, достижение целевых показателей которых осуществляется в рамках реализации муниципальных программ.</w:t>
      </w:r>
    </w:p>
    <w:p w:rsidR="00AC3D8A" w:rsidRDefault="00FD01F3"/>
    <w:sectPr w:rsidR="00AC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F3"/>
    <w:rsid w:val="000D3A2C"/>
    <w:rsid w:val="0040248C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3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0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1F3"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01F3"/>
    <w:rPr>
      <w:rFonts w:ascii="Times New Roman" w:eastAsia="Times New Roman" w:hAnsi="Times New Roman" w:cs="Calibri"/>
      <w:b/>
      <w:bCs/>
      <w:sz w:val="28"/>
      <w:szCs w:val="26"/>
      <w:lang w:eastAsia="ar-SA"/>
    </w:rPr>
  </w:style>
  <w:style w:type="paragraph" w:styleId="a3">
    <w:name w:val="Normal (Web)"/>
    <w:aliases w:val="Обычный (Web)1,Обычный (Web)"/>
    <w:basedOn w:val="1"/>
    <w:next w:val="a"/>
    <w:uiPriority w:val="39"/>
    <w:semiHidden/>
    <w:unhideWhenUsed/>
    <w:qFormat/>
    <w:rsid w:val="00FD01F3"/>
    <w:pPr>
      <w:suppressAutoHyphens w:val="0"/>
    </w:pPr>
    <w:rPr>
      <w:rFonts w:ascii="Cambria" w:eastAsia="Times New Roman" w:hAnsi="Cambria" w:cs="Calibri"/>
      <w:color w:val="365F91"/>
    </w:rPr>
  </w:style>
  <w:style w:type="paragraph" w:customStyle="1" w:styleId="ConsPlusNonformat">
    <w:name w:val="ConsPlusNonformat"/>
    <w:next w:val="a"/>
    <w:uiPriority w:val="99"/>
    <w:rsid w:val="00FD01F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FD01F3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D0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3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0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1F3"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01F3"/>
    <w:rPr>
      <w:rFonts w:ascii="Times New Roman" w:eastAsia="Times New Roman" w:hAnsi="Times New Roman" w:cs="Calibri"/>
      <w:b/>
      <w:bCs/>
      <w:sz w:val="28"/>
      <w:szCs w:val="26"/>
      <w:lang w:eastAsia="ar-SA"/>
    </w:rPr>
  </w:style>
  <w:style w:type="paragraph" w:styleId="a3">
    <w:name w:val="Normal (Web)"/>
    <w:aliases w:val="Обычный (Web)1,Обычный (Web)"/>
    <w:basedOn w:val="1"/>
    <w:next w:val="a"/>
    <w:uiPriority w:val="39"/>
    <w:semiHidden/>
    <w:unhideWhenUsed/>
    <w:qFormat/>
    <w:rsid w:val="00FD01F3"/>
    <w:pPr>
      <w:suppressAutoHyphens w:val="0"/>
    </w:pPr>
    <w:rPr>
      <w:rFonts w:ascii="Cambria" w:eastAsia="Times New Roman" w:hAnsi="Cambria" w:cs="Calibri"/>
      <w:color w:val="365F91"/>
    </w:rPr>
  </w:style>
  <w:style w:type="paragraph" w:customStyle="1" w:styleId="ConsPlusNonformat">
    <w:name w:val="ConsPlusNonformat"/>
    <w:next w:val="a"/>
    <w:uiPriority w:val="99"/>
    <w:rsid w:val="00FD01F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FD01F3"/>
    <w:pPr>
      <w:spacing w:after="0" w:line="100" w:lineRule="atLeast"/>
      <w:ind w:left="708"/>
    </w:pPr>
    <w:rPr>
      <w:rFonts w:ascii="Times New Roman" w:eastAsia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D0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4197</Words>
  <Characters>23929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Мониторинг реализации Плана стратегического развития города Рязани до 2020 года</vt:lpstr>
      <vt:lpstr>4) Сохраняется достаточно стабильная ситуация в сфере занятости. Уровень зарегис</vt:lpstr>
      <vt:lpstr>5). Индекс промышленного производства к уровню базового года характеризует динам</vt:lpstr>
    </vt:vector>
  </TitlesOfParts>
  <Company/>
  <LinksUpToDate>false</LinksUpToDate>
  <CharactersWithSpaces>28070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Жукова</dc:creator>
  <cp:lastModifiedBy>Ольга Викторовна Жукова</cp:lastModifiedBy>
  <cp:revision>1</cp:revision>
  <dcterms:created xsi:type="dcterms:W3CDTF">2017-05-26T07:18:00Z</dcterms:created>
  <dcterms:modified xsi:type="dcterms:W3CDTF">2017-05-26T07:20:00Z</dcterms:modified>
</cp:coreProperties>
</file>