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DE" w:rsidRPr="00B7283D" w:rsidRDefault="008F65DE" w:rsidP="008F65DE">
      <w:pPr>
        <w:pStyle w:val="2"/>
      </w:pPr>
      <w:r w:rsidRPr="00B7283D">
        <w:t xml:space="preserve">РЕЗУЛЬТАТЫ МОНИТОРИНГА </w:t>
      </w:r>
      <w:r w:rsidRPr="008F65DE">
        <w:t>ХОДА РЕАЛИЗАЦИИ В 2015 ГОДУ ПЛАНА СТРАТЕГИЧЕСКОГО РАЗВИТИЯ ГОРОДА РЯЗАНИ ДО</w:t>
      </w:r>
      <w:r>
        <w:t> 2020 </w:t>
      </w:r>
      <w:r w:rsidRPr="008F65DE">
        <w:t>ГОДА</w:t>
      </w:r>
    </w:p>
    <w:p w:rsidR="008F65DE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83D">
        <w:rPr>
          <w:rFonts w:ascii="Times New Roman" w:hAnsi="Times New Roman" w:cs="Times New Roman"/>
          <w:sz w:val="28"/>
          <w:szCs w:val="28"/>
        </w:rPr>
        <w:t xml:space="preserve">Данные мониторинга изменения в 2015 году значений показателей ожидаемых ориентиров перспективного образа города (2020 год) приведены в таблице. </w:t>
      </w:r>
    </w:p>
    <w:p w:rsidR="008F65DE" w:rsidRPr="00B7283D" w:rsidRDefault="008F65DE" w:rsidP="008F6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Динамика основных социально-экономических показателей в 2015 году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42"/>
        <w:gridCol w:w="1419"/>
        <w:gridCol w:w="1342"/>
        <w:gridCol w:w="1156"/>
        <w:gridCol w:w="1486"/>
        <w:gridCol w:w="1335"/>
      </w:tblGrid>
      <w:tr w:rsidR="008F65DE" w:rsidRPr="00B7283D" w:rsidTr="009B05A1">
        <w:trPr>
          <w:trHeight w:val="832"/>
        </w:trPr>
        <w:tc>
          <w:tcPr>
            <w:tcW w:w="3542" w:type="dxa"/>
            <w:shd w:val="clear" w:color="auto" w:fill="FFFFFF"/>
            <w:vAlign w:val="center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Показатели </w:t>
            </w:r>
          </w:p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(ожидаемые ориентиры)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Единица  измерения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2008 год (базовый)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 год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2015 год (отчетный)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2020 год (целевое  значение)</w:t>
            </w:r>
          </w:p>
        </w:tc>
      </w:tr>
      <w:tr w:rsidR="008F65DE" w:rsidRPr="00B7283D" w:rsidTr="009B05A1">
        <w:tc>
          <w:tcPr>
            <w:tcW w:w="10280" w:type="dxa"/>
            <w:gridSpan w:val="6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Пространственное развитие</w:t>
            </w:r>
          </w:p>
        </w:tc>
      </w:tr>
      <w:tr w:rsidR="008F65DE" w:rsidRPr="00B7283D" w:rsidTr="009B05A1">
        <w:tc>
          <w:tcPr>
            <w:tcW w:w="35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Общая площадь территории</w:t>
            </w:r>
          </w:p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городского округа</w:t>
            </w:r>
          </w:p>
        </w:tc>
        <w:tc>
          <w:tcPr>
            <w:tcW w:w="1419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13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22416</w:t>
            </w:r>
          </w:p>
        </w:tc>
        <w:tc>
          <w:tcPr>
            <w:tcW w:w="115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22394,1</w:t>
            </w:r>
          </w:p>
        </w:tc>
        <w:tc>
          <w:tcPr>
            <w:tcW w:w="148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22394,1</w:t>
            </w:r>
          </w:p>
        </w:tc>
        <w:tc>
          <w:tcPr>
            <w:tcW w:w="1335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34600</w:t>
            </w:r>
          </w:p>
        </w:tc>
      </w:tr>
      <w:tr w:rsidR="008F65DE" w:rsidRPr="00B7283D" w:rsidTr="009B05A1">
        <w:trPr>
          <w:trHeight w:val="288"/>
        </w:trPr>
        <w:tc>
          <w:tcPr>
            <w:tcW w:w="10280" w:type="dxa"/>
            <w:gridSpan w:val="6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Динамика и структура населения</w:t>
            </w:r>
          </w:p>
        </w:tc>
      </w:tr>
      <w:tr w:rsidR="008F65DE" w:rsidRPr="00B7283D" w:rsidTr="009B05A1">
        <w:tc>
          <w:tcPr>
            <w:tcW w:w="35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Общая численность населения (среднегодовая)</w:t>
            </w:r>
          </w:p>
        </w:tc>
        <w:tc>
          <w:tcPr>
            <w:tcW w:w="1419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тыс. чел.</w:t>
            </w:r>
          </w:p>
        </w:tc>
        <w:tc>
          <w:tcPr>
            <w:tcW w:w="13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524,6</w:t>
            </w:r>
          </w:p>
        </w:tc>
        <w:tc>
          <w:tcPr>
            <w:tcW w:w="115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532,8</w:t>
            </w:r>
          </w:p>
        </w:tc>
        <w:tc>
          <w:tcPr>
            <w:tcW w:w="148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533,8</w:t>
            </w:r>
          </w:p>
        </w:tc>
        <w:tc>
          <w:tcPr>
            <w:tcW w:w="1335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550,0</w:t>
            </w:r>
          </w:p>
        </w:tc>
      </w:tr>
      <w:tr w:rsidR="008F65DE" w:rsidRPr="00B7283D" w:rsidTr="009B05A1">
        <w:trPr>
          <w:trHeight w:val="287"/>
        </w:trPr>
        <w:tc>
          <w:tcPr>
            <w:tcW w:w="10280" w:type="dxa"/>
            <w:gridSpan w:val="6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Уровень жизни</w:t>
            </w:r>
          </w:p>
        </w:tc>
      </w:tr>
      <w:tr w:rsidR="008F65DE" w:rsidRPr="00B7283D" w:rsidTr="009B05A1">
        <w:tc>
          <w:tcPr>
            <w:tcW w:w="35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Уровень покрытия прожиточного минимума уровнем среднемесячной заработной  платы</w:t>
            </w:r>
          </w:p>
        </w:tc>
        <w:tc>
          <w:tcPr>
            <w:tcW w:w="1419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раз</w:t>
            </w:r>
          </w:p>
        </w:tc>
        <w:tc>
          <w:tcPr>
            <w:tcW w:w="13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115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4,21</w:t>
            </w:r>
          </w:p>
        </w:tc>
        <w:tc>
          <w:tcPr>
            <w:tcW w:w="148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1335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  <w:tr w:rsidR="008F65DE" w:rsidRPr="00B7283D" w:rsidTr="009B05A1">
        <w:trPr>
          <w:trHeight w:val="275"/>
        </w:trPr>
        <w:tc>
          <w:tcPr>
            <w:tcW w:w="10280" w:type="dxa"/>
            <w:gridSpan w:val="6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Рынок труда</w:t>
            </w:r>
          </w:p>
        </w:tc>
      </w:tr>
      <w:tr w:rsidR="008F65DE" w:rsidRPr="00B7283D" w:rsidTr="009B05A1">
        <w:trPr>
          <w:trHeight w:val="278"/>
        </w:trPr>
        <w:tc>
          <w:tcPr>
            <w:tcW w:w="35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Уровень безработицы</w:t>
            </w:r>
          </w:p>
        </w:tc>
        <w:tc>
          <w:tcPr>
            <w:tcW w:w="1419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15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0,27</w:t>
            </w:r>
          </w:p>
        </w:tc>
        <w:tc>
          <w:tcPr>
            <w:tcW w:w="148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1335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8F65DE" w:rsidRPr="00B7283D" w:rsidTr="009B05A1">
        <w:trPr>
          <w:trHeight w:val="418"/>
        </w:trPr>
        <w:tc>
          <w:tcPr>
            <w:tcW w:w="10280" w:type="dxa"/>
            <w:gridSpan w:val="6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Экономика  города</w:t>
            </w:r>
          </w:p>
        </w:tc>
      </w:tr>
      <w:tr w:rsidR="008F65DE" w:rsidRPr="00B7283D" w:rsidTr="009B05A1">
        <w:tc>
          <w:tcPr>
            <w:tcW w:w="35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Индекс промышленного производства к уровню базового года</w:t>
            </w:r>
          </w:p>
        </w:tc>
        <w:tc>
          <w:tcPr>
            <w:tcW w:w="1419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42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5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117,3</w:t>
            </w:r>
          </w:p>
        </w:tc>
        <w:tc>
          <w:tcPr>
            <w:tcW w:w="1486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110,4</w:t>
            </w:r>
          </w:p>
        </w:tc>
        <w:tc>
          <w:tcPr>
            <w:tcW w:w="1335" w:type="dxa"/>
            <w:shd w:val="clear" w:color="auto" w:fill="FFFFFF"/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283D">
              <w:rPr>
                <w:rFonts w:ascii="Times New Roman" w:hAnsi="Times New Roman" w:cs="Times New Roman"/>
                <w:sz w:val="24"/>
                <w:szCs w:val="28"/>
              </w:rPr>
              <w:t>125,0</w:t>
            </w:r>
          </w:p>
        </w:tc>
      </w:tr>
    </w:tbl>
    <w:p w:rsidR="008F65DE" w:rsidRPr="00B7283D" w:rsidRDefault="008F65DE" w:rsidP="008F65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Индикаторы реализации задач Стратегического плана привязаны к конкретным задачам, поставленным в рамках основных стратегических направлений развития города. Достижение индикаторов осуществляется при помощи программно-целевого метода. Индикаторы должны достигаться посредством исполнения муниципальных программ, реализуемых в городе Рязани.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Мониторинг индикаторов реализации задач Стратегического плана в отчетном периоде (фактические значения на конец отчетного периода) приведен в таблице  «Динамика индикаторов реализации задач в рамках Стратегического плана».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Для оценки динамики показателей приводится сопоставление текущих данных мониторинга (фактические значения индикаторов в отчетном периоде) с плановыми значениями показателя отчетного периода и целевыми значениями показателя на конец реализации стратегического плана (2020 г.), а также приводится динамика показателя с уровнем предшествующего года и базовым уровнем 2008 года.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F65DE" w:rsidRPr="00B7283D" w:rsidSect="007A62B9">
          <w:headerReference w:type="default" r:id="rId6"/>
          <w:pgSz w:w="11906" w:h="16838" w:code="9"/>
          <w:pgMar w:top="1440" w:right="566" w:bottom="1440" w:left="1276" w:header="425" w:footer="720" w:gutter="0"/>
          <w:cols w:space="720"/>
          <w:docGrid w:linePitch="360"/>
        </w:sectPr>
      </w:pPr>
    </w:p>
    <w:p w:rsidR="008F65DE" w:rsidRPr="00B7283D" w:rsidRDefault="008F65DE" w:rsidP="008F6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lastRenderedPageBreak/>
        <w:t>Динамика индикаторов реализации задач в</w:t>
      </w:r>
      <w:r w:rsidRPr="00B7283D">
        <w:rPr>
          <w:rFonts w:ascii="Times New Roman" w:hAnsi="Times New Roman"/>
          <w:sz w:val="24"/>
          <w:szCs w:val="24"/>
        </w:rPr>
        <w:t xml:space="preserve"> </w:t>
      </w:r>
      <w:r w:rsidRPr="00B7283D">
        <w:rPr>
          <w:rFonts w:ascii="Times New Roman" w:hAnsi="Times New Roman" w:cs="Times New Roman"/>
          <w:sz w:val="28"/>
          <w:szCs w:val="28"/>
        </w:rPr>
        <w:t>рамках Стратегического плана</w:t>
      </w:r>
    </w:p>
    <w:tbl>
      <w:tblPr>
        <w:tblW w:w="1474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6109"/>
        <w:gridCol w:w="992"/>
        <w:gridCol w:w="1134"/>
        <w:gridCol w:w="1276"/>
        <w:gridCol w:w="1418"/>
        <w:gridCol w:w="1559"/>
        <w:gridCol w:w="1275"/>
      </w:tblGrid>
      <w:tr w:rsidR="008F65DE" w:rsidRPr="00B7283D" w:rsidTr="009B05A1">
        <w:trPr>
          <w:cantSplit/>
          <w:trHeight w:val="240"/>
          <w:tblHeader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2015 год (отчетный)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2020 г. (целевое значение)</w:t>
            </w:r>
          </w:p>
        </w:tc>
      </w:tr>
      <w:tr w:rsidR="008F65DE" w:rsidRPr="00B7283D" w:rsidTr="009B05A1">
        <w:trPr>
          <w:cantSplit/>
          <w:trHeight w:val="572"/>
          <w:tblHeader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  <w:tblHeader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Направление: Развитие человеческого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Развитие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 возрасте 1 - 6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 сумме численности детей от 3 до 7 лет, получающих дошкольное образование в текущем году, и численности детей от 3 до 7 лет, находящихся в очереди на получение в текущем году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 общем количестве муниципальных общеобразовательных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лет, получающих услуги по дополнительному образованию в образовательных учреждениях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 предметам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97,0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школьников, обучающихся по ФГОС, в общей численности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Развитие физкультуры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лет, получающих услуги по дополнительному образованию в учреждениях физкультуры и 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в возрасте от 3 до 79 лет, систематически занимающегося физкультурой и спортом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лет, получающих услуги по дополнительному образованию в учреждениях сферы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участвующего в общегородских культурно-досуговых мероприятиях, организованных органами местного самоуправления городских округов и муниципальных районов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Направление: Экономический рост на основе инноваций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Экономическое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 внешних совместителей) малых и средних предприятий в 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38,8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(без субъектов малого предпринимательства, параметров неформальной деятельности и за исключением бюджетных средств) в расчете на одного жителя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Направление: Качественная городская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Развитие жилищно-коммунального комплекса и энергосбережение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общей площади жилого фонда, обеспеченной основными видами коммунальных услуг (водоснабжение, водоотведение, газоснабжение)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tabs>
                <w:tab w:val="left" w:pos="465"/>
                <w:tab w:val="center" w:pos="7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потребления энергетических ресурсов муниципальными бюджетными учреждениями, </w:t>
            </w:r>
          </w:p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кВт*ч на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муници-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3.1.2.2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Гкал на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муници-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3.1.2.3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горячая 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куб. м на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муници-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метров на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муници-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3.1.2.5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метров на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муници-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Благоустройство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улиц,  обеспеченных уличным освещением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парков, скверов, бульваров и зеленых зон на территории города Рязани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улиц и дорог, убираемых механизированным способом: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- в зимний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spacing w:after="0" w:line="240" w:lineRule="auto"/>
              <w:jc w:val="center"/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- в летний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1076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Доля муниципальных водных объектов, охваченных работами по их реабилитации, от общего количества муниципальных водных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F65DE" w:rsidRPr="00B7283D" w:rsidTr="009B05A1">
        <w:trPr>
          <w:cantSplit/>
          <w:trHeight w:val="1108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 зеленого фонда, на которых проведены мероприятия по восстановлению зеленых насаждений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F65DE" w:rsidRPr="00B7283D" w:rsidTr="009B05A1">
        <w:trPr>
          <w:cantSplit/>
          <w:trHeight w:val="418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Развитие транспортной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83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маршрутов общественного транспорта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F65DE" w:rsidRPr="00B7283D" w:rsidTr="009B05A1">
        <w:trPr>
          <w:cantSplit/>
          <w:trHeight w:val="69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движения общественного транспорта по городу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безопасности и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народных дружинников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450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принявших участие в мероприятиях, направленных на профилактику -безнадзорности и правонарушений несовершеннолетних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Направление: Сбалансированное пространственное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Реализация жилищной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 среднем на одного жителя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получившего жилые  помещения и улучшившего жилищные условия в отчетном году, в общей численности населения, состоящего на учете в качестве нуждающегося в жилых помещениях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Направление: Эффективный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Задача: Развитие муниципального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8F65DE" w:rsidRPr="00B7283D" w:rsidTr="009B05A1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5DE" w:rsidRPr="00B7283D" w:rsidRDefault="008F65DE" w:rsidP="009B05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3D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</w:tbl>
    <w:p w:rsidR="008F65DE" w:rsidRPr="00B7283D" w:rsidRDefault="008F65DE" w:rsidP="008F65DE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8F65DE" w:rsidRPr="00B7283D" w:rsidSect="00A85C15">
          <w:pgSz w:w="16838" w:h="11906" w:orient="landscape" w:code="9"/>
          <w:pgMar w:top="1276" w:right="1440" w:bottom="566" w:left="1440" w:header="425" w:footer="720" w:gutter="0"/>
          <w:cols w:space="720"/>
          <w:docGrid w:linePitch="360"/>
        </w:sectPr>
      </w:pPr>
    </w:p>
    <w:p w:rsidR="008F65DE" w:rsidRPr="00B7283D" w:rsidRDefault="008F65DE" w:rsidP="008F65DE">
      <w:pPr>
        <w:pStyle w:val="3"/>
        <w:spacing w:line="240" w:lineRule="auto"/>
        <w:rPr>
          <w:i/>
        </w:rPr>
      </w:pPr>
      <w:bookmarkStart w:id="1" w:name="_Toc370166665"/>
      <w:bookmarkStart w:id="2" w:name="_Toc402270289"/>
      <w:bookmarkStart w:id="3" w:name="_Toc402270304"/>
      <w:bookmarkStart w:id="4" w:name="_Toc402270602"/>
      <w:bookmarkStart w:id="5" w:name="_Toc445749356"/>
      <w:r w:rsidRPr="00B7283D">
        <w:rPr>
          <w:i/>
        </w:rPr>
        <w:t>4.2. Оценка хода реализации Стратегического плана</w:t>
      </w:r>
      <w:bookmarkEnd w:id="5"/>
      <w:r w:rsidRPr="00B7283D">
        <w:rPr>
          <w:i/>
        </w:rPr>
        <w:t xml:space="preserve"> </w:t>
      </w:r>
      <w:bookmarkEnd w:id="1"/>
      <w:bookmarkEnd w:id="2"/>
      <w:bookmarkEnd w:id="3"/>
      <w:bookmarkEnd w:id="4"/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02270297"/>
      <w:bookmarkStart w:id="7" w:name="_Toc402270312"/>
    </w:p>
    <w:bookmarkEnd w:id="6"/>
    <w:bookmarkEnd w:id="7"/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B7283D">
        <w:rPr>
          <w:rFonts w:ascii="Times New Roman" w:hAnsi="Times New Roman"/>
          <w:sz w:val="28"/>
          <w:szCs w:val="26"/>
          <w:u w:val="single"/>
        </w:rPr>
        <w:t xml:space="preserve">Оценка динамики основных социально-экономических показателей </w:t>
      </w:r>
      <w:r w:rsidRPr="00B7283D">
        <w:rPr>
          <w:rFonts w:ascii="Times New Roman" w:hAnsi="Times New Roman"/>
          <w:sz w:val="28"/>
          <w:szCs w:val="26"/>
          <w:u w:val="single"/>
        </w:rPr>
        <w:br/>
        <w:t>развития города Рязани в 2015 году.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1) Значение показателя «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Общая площадь территории городского округа</w:t>
      </w:r>
      <w:r w:rsidRPr="00B7283D">
        <w:rPr>
          <w:rFonts w:ascii="Times New Roman" w:hAnsi="Times New Roman" w:cs="Times New Roman"/>
          <w:sz w:val="28"/>
          <w:szCs w:val="28"/>
        </w:rPr>
        <w:t>» на конец 2015 года – 22394,1 га. Границы территории муниципального образования – городской округ город Рязань утверждены Законом Рязанской области от 09.07.2008 г. № 77-ОЗ «Об утверждении границы муниципального образования – городской округ город Рязань».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Площадь территории города Рязань по сравнению с прошлым годом не изменилась.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Общая среднегодовая численность населения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составила 533,8 тыс. чел., что составляет 47,3% населения Рязанской области. По сравнению с предыдущим годом и базовым (2008 г.) наблюдается прирост численности населения, что в первую очередь вызвано высоким миграционным притоком. При этом демографическая ситуация до сих пор характеризуется естественной убылью населения (превышением числа умерших над числом родившихся).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Уровень покрытия прожиточного минимума уровнем среднемесячной заработной платы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составил 3,5 раза. Ухудшение данного показателя по сравнению с прошлым годом объясняется разными темпами роста прожиточного минимума и уровня среднемесячной заработной платы.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Так, по итогам 2015 года величина прожиточного минимума на душу населения в Рязанской области составила 8753 рубля (в 2014 году - 7071 рубль). Рост по сравнению с прошлым годом – на 23,8 %.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в крупных и средних организациях города в 2015 году увеличилась на 4,2% по сравнению с уровнем 2014 года и составила 31 047,3 рубля (в 2014 году – 29 795,7 рубля).</w:t>
      </w:r>
    </w:p>
    <w:p w:rsidR="008F65DE" w:rsidRPr="00B7283D" w:rsidRDefault="008F65DE" w:rsidP="008F65DE">
      <w:pPr>
        <w:pStyle w:val="22"/>
        <w:tabs>
          <w:tab w:val="left" w:pos="5670"/>
          <w:tab w:val="left" w:pos="8647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 w:rsidRPr="00B7283D">
        <w:rPr>
          <w:sz w:val="28"/>
          <w:szCs w:val="28"/>
        </w:rPr>
        <w:t xml:space="preserve">4) Сохраняется достаточно стабильная ситуация в сфере занятости. </w:t>
      </w:r>
      <w:r w:rsidRPr="00B7283D">
        <w:rPr>
          <w:b/>
          <w:i/>
          <w:sz w:val="28"/>
          <w:szCs w:val="28"/>
        </w:rPr>
        <w:t>Уровень зарегистрированной безработицы</w:t>
      </w:r>
      <w:r w:rsidRPr="00B7283D">
        <w:rPr>
          <w:sz w:val="28"/>
          <w:szCs w:val="28"/>
        </w:rPr>
        <w:t xml:space="preserve"> в городе Рязани в 2015 году составил 0,4 %. По данному показателю на протяжении ряда лет мы занимаем лидирующие позиции среди городов  ЦФО. В долгосрочной перспективе планируется сохранить уровень безработицы на низком уровне.</w:t>
      </w:r>
    </w:p>
    <w:p w:rsidR="008F65DE" w:rsidRPr="00B7283D" w:rsidRDefault="008F65DE" w:rsidP="008F65DE">
      <w:pPr>
        <w:pStyle w:val="22"/>
        <w:tabs>
          <w:tab w:val="left" w:pos="864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7283D">
        <w:rPr>
          <w:sz w:val="28"/>
          <w:szCs w:val="28"/>
        </w:rPr>
        <w:t xml:space="preserve">5). </w:t>
      </w:r>
      <w:r w:rsidRPr="00B7283D">
        <w:rPr>
          <w:b/>
          <w:i/>
          <w:sz w:val="28"/>
          <w:szCs w:val="28"/>
        </w:rPr>
        <w:t>Индекс промышленного производства к уровню базового года</w:t>
      </w:r>
      <w:r w:rsidRPr="00B7283D">
        <w:rPr>
          <w:sz w:val="28"/>
          <w:szCs w:val="28"/>
        </w:rPr>
        <w:t xml:space="preserve"> характеризует динамику объема промышленного производства с 2008 года.  </w:t>
      </w:r>
      <w:r w:rsidRPr="00B7283D">
        <w:rPr>
          <w:sz w:val="28"/>
          <w:szCs w:val="28"/>
        </w:rPr>
        <w:br/>
        <w:t xml:space="preserve">В 2015 году он составил 110,4 %  (в 2014 году  - 117,3%). </w:t>
      </w:r>
    </w:p>
    <w:p w:rsidR="008F65DE" w:rsidRPr="00B7283D" w:rsidRDefault="008F65DE" w:rsidP="008F65DE">
      <w:pPr>
        <w:pStyle w:val="210"/>
        <w:tabs>
          <w:tab w:val="left" w:pos="978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7283D">
        <w:rPr>
          <w:rFonts w:eastAsia="Calibri"/>
          <w:sz w:val="28"/>
          <w:szCs w:val="28"/>
        </w:rPr>
        <w:t>Снижение показателя связано с тем, что в 2015 году объемы</w:t>
      </w:r>
      <w:r w:rsidRPr="00B7283D">
        <w:rPr>
          <w:sz w:val="28"/>
          <w:szCs w:val="28"/>
        </w:rPr>
        <w:t xml:space="preserve"> промышленного производства уменьшились на 5,9 %относительно уровня предыдущего </w:t>
      </w:r>
      <w:r w:rsidRPr="00B7283D"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>.</w:t>
      </w:r>
      <w:r w:rsidRPr="00B7283D">
        <w:rPr>
          <w:rFonts w:eastAsia="Calibri"/>
          <w:sz w:val="28"/>
          <w:szCs w:val="28"/>
        </w:rPr>
        <w:t xml:space="preserve"> </w:t>
      </w:r>
    </w:p>
    <w:p w:rsidR="008F65DE" w:rsidRPr="00B7283D" w:rsidRDefault="008F65DE" w:rsidP="008F65D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bookmarkStart w:id="8" w:name="_Toc370166669"/>
      <w:bookmarkStart w:id="9" w:name="_Toc402270298"/>
      <w:bookmarkStart w:id="10" w:name="_Toc402270313"/>
      <w:bookmarkStart w:id="11" w:name="_Toc402270603"/>
      <w:r w:rsidRPr="00B7283D">
        <w:rPr>
          <w:rFonts w:ascii="Times New Roman" w:hAnsi="Times New Roman"/>
          <w:sz w:val="28"/>
          <w:szCs w:val="26"/>
          <w:u w:val="single"/>
        </w:rPr>
        <w:t>Оценка динамики целевых показателей реализации задач</w:t>
      </w:r>
      <w:r w:rsidRPr="00B7283D">
        <w:rPr>
          <w:rFonts w:ascii="Times New Roman" w:hAnsi="Times New Roman"/>
          <w:sz w:val="28"/>
          <w:szCs w:val="26"/>
          <w:u w:val="single"/>
        </w:rPr>
        <w:br/>
        <w:t xml:space="preserve"> Плана стратегического развития города Рязани до 2020 года. </w:t>
      </w:r>
      <w:r w:rsidRPr="00B7283D">
        <w:rPr>
          <w:rFonts w:ascii="Times New Roman" w:hAnsi="Times New Roman"/>
          <w:sz w:val="28"/>
          <w:szCs w:val="26"/>
          <w:u w:val="single"/>
        </w:rPr>
        <w:br/>
        <w:t xml:space="preserve"> Количественный и качественный анализ отклонений от целевых показателей.</w:t>
      </w:r>
      <w:bookmarkEnd w:id="8"/>
      <w:bookmarkEnd w:id="9"/>
      <w:bookmarkEnd w:id="10"/>
      <w:bookmarkEnd w:id="11"/>
    </w:p>
    <w:p w:rsidR="008F65DE" w:rsidRPr="00B7283D" w:rsidRDefault="008F65DE" w:rsidP="008F65D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6"/>
        </w:rPr>
      </w:pP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1)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Направление: Развитие человеческого  капитала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1.1)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ab/>
        <w:t>Задача: Развитие образования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1.1.1)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детей в возрасте 1-6 лет, состоящих на учете для определения в муниципальные дошкольные образовательные учреждения в общей численности детей в возрасте 1-6 лет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составила 5,1 % (1578 человек), что на 0,1 процентный пункт меньше уровня 2014 года.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Положительная динамика показателя достигнута за счет введения </w:t>
      </w:r>
      <w:r w:rsidRPr="00B7283D">
        <w:rPr>
          <w:rFonts w:ascii="Times New Roman" w:hAnsi="Times New Roman" w:cs="Times New Roman"/>
          <w:sz w:val="28"/>
          <w:szCs w:val="28"/>
        </w:rPr>
        <w:br/>
        <w:t>в 2015 году 586 дополнительных мест за счет открытия 7 дополнительных групп - 176 мест, проведения реконструкции детского сада № 33 - 150 мест, строительства детского сада № 34 - 260 мест, а также за счет перепрофилирования и оптимизация комплектования групп внутри дошкольных образовательных учреждений. Проведенные мероприятия позволили обеспечить услугами дошкольного образования на 1070 человек больше, чем в предыдущем году (всего 23275 детей).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Отклонение фактического значения индикатора от целевого значения (7,2 %) составило 2,1 процентных пункта. В связи с изменениями правил постановки детей на учет для определения в муниципальные дошкольные образовательные учреждения в декабре 2014 года (разрешено ставить на учет детей с момента рождения, а не за год до планируемой даты посещения детского дошкольного учреждения) предполагалось существенное увеличение количества детей в очереди, что по факту не произошло. Поэтому целевое значение показателя оказалось завышенным.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1.1.2)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Отношение численности детей в возрасте от 3 до 7 лет, получающих дошкольное образование в текущем году, к сумме численности детей от 3 до 7 лет, получающих дошкольное образование в текущем году, и численности детей от 3 до 7 лет, находящихся в очереди на получение в текущем году дошкольного образования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составило 99,8%. Показатель характеризует доступность дошкольного образования для детей данной возрастной категории. Относительно уровня 2014 года показатель улучшился </w:t>
      </w:r>
      <w:r w:rsidRPr="00B7283D">
        <w:rPr>
          <w:rFonts w:ascii="Times New Roman" w:hAnsi="Times New Roman" w:cs="Times New Roman"/>
          <w:sz w:val="28"/>
          <w:szCs w:val="28"/>
        </w:rPr>
        <w:br/>
        <w:t>на 0,2 процентных пункта. Отклонение фактического значения показателя от планируемого (100%) составило 0,2 процентных пункта.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не было достигнуто за счет того, что родители (законные представители) 47 детей данной возрастной категории, находящихся в очереди, неоднократно отказывались от предложенных мест в детских садах, расположенных в других микрорайонах города. Дети, не обеспеченные местами в детских садах, проживают в микрорайонах Московского шоссе, Кальное, </w:t>
      </w:r>
      <w:r w:rsidRPr="00B7283D">
        <w:rPr>
          <w:rFonts w:ascii="Times New Roman" w:hAnsi="Times New Roman" w:cs="Times New Roman"/>
          <w:sz w:val="28"/>
          <w:szCs w:val="28"/>
        </w:rPr>
        <w:br/>
        <w:t>ДПР-5,5А, малом центре города Рязани.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В тоже время, дошкольные образовательные учреждения города Рязани предоставляли более 900 вакантных мест, в том числе 233 - для детей 2012 года рождения.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1.1.3)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 xml:space="preserve"> 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составила 83%, что выше запланированного значения и уровня 2014 года на 0,5 процентных пункта.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Улучшение показателя достигнуто за счет сокращения значительного количества вакантных должностей в образовательных учреждениях и создания безбарьерной среды для детей-инвалидов в школах №№ 8, 11, 19(25), 56, 63, в которых проведены ремонт входных групп и установка пандусов.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1.1.4)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образовательных учреждениях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составила 62%, </w:t>
      </w:r>
      <w:r w:rsidRPr="00B7283D">
        <w:rPr>
          <w:rFonts w:ascii="Times New Roman" w:hAnsi="Times New Roman" w:cs="Times New Roman"/>
          <w:sz w:val="28"/>
          <w:szCs w:val="28"/>
        </w:rPr>
        <w:br/>
        <w:t>что соответствует целевому значению индикатора. Фактическое значение показателя незначительно (на 0,3 процентных пункта) превышает уровень 2014 года благодаря расширению спектра услуг дополнительного образования в образовательных учреждениях.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1.1.5)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(ЕГЭ) по русскому языку и математике, в общей численности выпускников муниципальных общеобразовательных учреждений, сдававших единый государственный экзамен по данным  предметам,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составила 99,1%, что соответствует целевому значению показателя (не ниже 97%). Незначительное снижение показателя по сравнению с 2014 годом (на 0,2 процентных пункта) связано с изменением экзаменационной модели и увеличением минимального балла по математике профильного уровня с 20 до 27.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1.1.6)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школьников, обучающихся по ФГОС, в общей численности обучающихся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составила 56,3%, что превышает значение 2014 года на 10,3 процентных пункта. Динамика показателя отражает плановую деятельность по внедрению ФГОС в школах города. Превышение целевого значения на 1,3 процентных пункта обусловлено увеличением количества первоклассников.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Развитие физкультуры и массового спорта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1.2.1)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 учреждениях физической культуры и спорта</w:t>
      </w:r>
      <w:r w:rsidRPr="00B7283D">
        <w:rPr>
          <w:rFonts w:ascii="Times New Roman" w:hAnsi="Times New Roman" w:cs="Times New Roman"/>
          <w:sz w:val="28"/>
          <w:szCs w:val="28"/>
        </w:rPr>
        <w:t>, составила 53,9%, что на 4,4 процентных пункта превышает уровень 2014 года. Фактическое значение показателя превышает плановое значение на 4,9 процентных пункта.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Превышение достижения индикатора связано с высокими показателями численности  при наборе новых обучающихся в учреждениях физкультуры и спорта, а также повышением качества предоставления услуг физкультурно-спортивной направленности с учетом запросов населения. В 2015 году было введено в строй 27 новых спортивных объектов, отремонтировано 6 зданий учреждений спорта. Открыты новые направления по видам спорта.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1.2.2)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населения в возрасте  от 3 до 79 лет, систематически занимающегося физкультурой и спортом,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составила 33,6% что соответствует плановым значениям. Рост показателя относительно уровня прошлого года </w:t>
      </w:r>
      <w:r w:rsidRPr="00B7283D">
        <w:rPr>
          <w:rFonts w:ascii="Times New Roman" w:hAnsi="Times New Roman" w:cs="Times New Roman"/>
          <w:sz w:val="28"/>
          <w:szCs w:val="28"/>
        </w:rPr>
        <w:br/>
        <w:t>на 1,5 процентных пункта сложился за счет увеличения количества занимающихся на плановых занятиях физической культурой и спортом в образовательных учреждениях, а также иных коммерческих организациях физической культуры и спорта.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1.3)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Развитие культуры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1.3.1)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учреждениях сферы культуры</w:t>
      </w:r>
      <w:r w:rsidRPr="00B7283D">
        <w:rPr>
          <w:rFonts w:ascii="Times New Roman" w:hAnsi="Times New Roman" w:cs="Times New Roman"/>
          <w:sz w:val="28"/>
          <w:szCs w:val="28"/>
        </w:rPr>
        <w:t>, составила в 2015 году 9,8 %, что соответствует уровню прошлого года и плановому значению индикатора. Это означает, что в 2015 году сохранен контингент учащихся в учреждениях дополнительного образования и занимающихся в кружках и студиях учреждений культуры.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1.3.2)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населения, участвующего в общегородских культурно-досуговых мероприятиях, организованных органами местного самоуправления городского округа</w:t>
      </w:r>
      <w:r w:rsidRPr="00B7283D">
        <w:rPr>
          <w:rFonts w:ascii="Times New Roman" w:hAnsi="Times New Roman" w:cs="Times New Roman"/>
          <w:sz w:val="28"/>
          <w:szCs w:val="28"/>
        </w:rPr>
        <w:t>, составляет в 2015 году 37,7 %, что существенно превышает  плановое значение (12%) и уровень прошлого года (2014 г. - 11,8%).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Такой результат достигнут в связи с проведением в 2015 году масштабных мероприятий в рамках празднования 3-х юбилейных дат (70-летия Победы в Великой Отечественной войне, 920-летия основания Рязани, 120-летия С.А. Есенина), кроме того в Рязани в 2015 году были реализованы крупные культурно-досуговые проекты на улицах и площадях города.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2)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Направление: Экономический рост на основе инноваций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2.1)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Экономическое развитие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2.1.1)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B7283D">
        <w:rPr>
          <w:rFonts w:ascii="Times New Roman" w:hAnsi="Times New Roman" w:cs="Times New Roman"/>
          <w:sz w:val="28"/>
          <w:szCs w:val="28"/>
        </w:rPr>
        <w:t>, составила 38,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83D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B7283D">
        <w:rPr>
          <w:rFonts w:ascii="Times New Roman" w:hAnsi="Times New Roman" w:cs="Times New Roman"/>
          <w:sz w:val="28"/>
          <w:szCs w:val="28"/>
        </w:rPr>
        <w:t>е уровня прошлого года на 0,</w:t>
      </w:r>
      <w:r>
        <w:rPr>
          <w:rFonts w:ascii="Times New Roman" w:hAnsi="Times New Roman" w:cs="Times New Roman"/>
          <w:sz w:val="28"/>
          <w:szCs w:val="28"/>
        </w:rPr>
        <w:t>1 процентных пункта и </w:t>
      </w:r>
      <w:r w:rsidRPr="00B7283D">
        <w:rPr>
          <w:rFonts w:ascii="Times New Roman" w:hAnsi="Times New Roman" w:cs="Times New Roman"/>
          <w:sz w:val="28"/>
          <w:szCs w:val="28"/>
        </w:rPr>
        <w:t>ниже планового значения на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83D">
        <w:rPr>
          <w:rFonts w:ascii="Times New Roman" w:hAnsi="Times New Roman" w:cs="Times New Roman"/>
          <w:sz w:val="28"/>
          <w:szCs w:val="28"/>
        </w:rPr>
        <w:t xml:space="preserve"> процентных пункта.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</w:t>
      </w:r>
      <w:r w:rsidRPr="001163CC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63C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1163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63CC">
        <w:rPr>
          <w:rFonts w:ascii="Times New Roman" w:hAnsi="Times New Roman" w:cs="Times New Roman"/>
          <w:sz w:val="28"/>
          <w:szCs w:val="28"/>
        </w:rPr>
        <w:t>малых и средних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увеличилась в 2015 году на 420 работников (при прогнозе – 900-920 работников). Таким образом, плановое значение</w:t>
      </w:r>
      <w:r w:rsidRPr="00B7283D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не было достигнуто в связи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B7283D">
        <w:rPr>
          <w:rFonts w:ascii="Times New Roman" w:hAnsi="Times New Roman" w:cs="Times New Roman"/>
          <w:sz w:val="28"/>
          <w:szCs w:val="28"/>
        </w:rPr>
        <w:t>сокращением количества нанимаемых работников в целях оптимизации расходо</w:t>
      </w:r>
      <w:r>
        <w:rPr>
          <w:rFonts w:ascii="Times New Roman" w:hAnsi="Times New Roman" w:cs="Times New Roman"/>
          <w:sz w:val="28"/>
          <w:szCs w:val="28"/>
        </w:rPr>
        <w:t>в малых и средних предприятий в </w:t>
      </w:r>
      <w:r w:rsidRPr="00B7283D">
        <w:rPr>
          <w:rFonts w:ascii="Times New Roman" w:hAnsi="Times New Roman" w:cs="Times New Roman"/>
          <w:sz w:val="28"/>
          <w:szCs w:val="28"/>
        </w:rPr>
        <w:t>сложившейся экономической ситуации.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2.1.2)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 xml:space="preserve">Объем инвестиций в основной капитал (без субъектов малого предпринимательства, параметров неформальной деятельности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br/>
        <w:t xml:space="preserve">и за исключением бюджетных средств) в расчете на одного жителя </w:t>
      </w:r>
      <w:r w:rsidRPr="00B7283D">
        <w:rPr>
          <w:rFonts w:ascii="Times New Roman" w:hAnsi="Times New Roman" w:cs="Times New Roman"/>
          <w:sz w:val="28"/>
          <w:szCs w:val="28"/>
        </w:rPr>
        <w:t xml:space="preserve">в отчетном году составил 39 тыс. рублей. Фактическое значение индикатора выше планового значения на 1,3 тыс. руб. К уровню прошлого года значение показателя снизилось на 12,8 %, что связано с общим снижением объема инвестиций в основной капитал в городе Рязани в условиях негативных явлений в российской экономике.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Направление: Качественная городская среда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3.1)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Развитие жилищно-коммунального комплекса и энергосбережение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3.1.1)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 xml:space="preserve">Удельный вес общей площади жилого фонда, обеспеченной основными видами коммунальных услуг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br/>
        <w:t>(водоснабжение, водоотведение, газоснабжение</w:t>
      </w:r>
      <w:r w:rsidRPr="00B7283D">
        <w:rPr>
          <w:rFonts w:ascii="Times New Roman" w:hAnsi="Times New Roman" w:cs="Times New Roman"/>
          <w:i/>
          <w:sz w:val="28"/>
          <w:szCs w:val="28"/>
        </w:rPr>
        <w:t>)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составил 96,4 %, </w:t>
      </w:r>
      <w:r w:rsidRPr="00B7283D">
        <w:rPr>
          <w:rFonts w:ascii="Times New Roman" w:hAnsi="Times New Roman" w:cs="Times New Roman"/>
          <w:sz w:val="28"/>
          <w:szCs w:val="28"/>
        </w:rPr>
        <w:br/>
        <w:t xml:space="preserve">что на 0,1 процентных пункта выше уровня 2014 года.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определяется на основании формы статистической отчетности № 1-жилфонд.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3.1.2) Показатель «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Удельная величина потребления энергетических ресурсов муниципальными бюджетными учреждениями</w:t>
      </w:r>
      <w:r w:rsidRPr="00B7283D">
        <w:rPr>
          <w:rFonts w:ascii="Times New Roman" w:hAnsi="Times New Roman" w:cs="Times New Roman"/>
          <w:sz w:val="28"/>
          <w:szCs w:val="28"/>
        </w:rPr>
        <w:t>»  рассчитывается на основании данных о потреблении энергоресурсов муниципальными бюджетными учреждениями и данных о площади муниципальных бюджетных учреждений.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В 2015 году достигнуты следующие значения индикатора по видам энергетических ресурсов: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-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электрическая энергия</w:t>
      </w:r>
      <w:r w:rsidRPr="00B7283D">
        <w:rPr>
          <w:rFonts w:ascii="Times New Roman" w:hAnsi="Times New Roman" w:cs="Times New Roman"/>
          <w:sz w:val="28"/>
          <w:szCs w:val="28"/>
        </w:rPr>
        <w:t xml:space="preserve"> – 22,32 кВт*ч на 1 кв.м муниципальной площади, что ниже планового значения показателя на 0,18 кВт*ч на 1 кв.м. По сравнению с 2014 годом показатель улучшился на 1,58 кВт*ч на 1 кв.м.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-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тепловая энергия</w:t>
      </w:r>
      <w:r w:rsidRPr="00B7283D">
        <w:rPr>
          <w:rFonts w:ascii="Times New Roman" w:hAnsi="Times New Roman" w:cs="Times New Roman"/>
          <w:sz w:val="28"/>
          <w:szCs w:val="28"/>
        </w:rPr>
        <w:t xml:space="preserve"> – 0,18 Гкал на 1 кв.м муниципальной площади, </w:t>
      </w:r>
      <w:r w:rsidRPr="00B7283D">
        <w:rPr>
          <w:rFonts w:ascii="Times New Roman" w:hAnsi="Times New Roman" w:cs="Times New Roman"/>
          <w:sz w:val="28"/>
          <w:szCs w:val="28"/>
        </w:rPr>
        <w:br/>
        <w:t xml:space="preserve">что на 0,01 Гкал на 1 кв.м лучше планового значения, экономия по сравнению </w:t>
      </w:r>
      <w:r w:rsidRPr="00B7283D">
        <w:rPr>
          <w:rFonts w:ascii="Times New Roman" w:hAnsi="Times New Roman" w:cs="Times New Roman"/>
          <w:sz w:val="28"/>
          <w:szCs w:val="28"/>
        </w:rPr>
        <w:br/>
        <w:t>с 2014 годом составляет  0,01 Гкал на 1 кв.м;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-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горячая вода</w:t>
      </w:r>
      <w:r w:rsidRPr="00B7283D">
        <w:rPr>
          <w:rFonts w:ascii="Times New Roman" w:hAnsi="Times New Roman" w:cs="Times New Roman"/>
          <w:sz w:val="28"/>
          <w:szCs w:val="28"/>
        </w:rPr>
        <w:t xml:space="preserve"> – 0,23 куб. м на 1 кв.м муниципальной площади, отклонение от целевого показателя Стратегического плана составило 0,01 куб. м на 1 кв.м в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положительную</w:t>
      </w:r>
      <w:r w:rsidRPr="00B7283D">
        <w:rPr>
          <w:rFonts w:ascii="Times New Roman" w:hAnsi="Times New Roman" w:cs="Times New Roman"/>
          <w:sz w:val="28"/>
          <w:szCs w:val="28"/>
        </w:rPr>
        <w:t> сторону. По сравнению с 2014 годом потребление уменьшилось на 0,01 куб. м на 1 кв.м муниципальной  площади;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-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холодная вода</w:t>
      </w:r>
      <w:r w:rsidRPr="00B7283D">
        <w:rPr>
          <w:rFonts w:ascii="Times New Roman" w:hAnsi="Times New Roman" w:cs="Times New Roman"/>
          <w:sz w:val="28"/>
          <w:szCs w:val="28"/>
        </w:rPr>
        <w:t xml:space="preserve"> – 0,84 куб. м на 1 кв.м муниципальной площади, отклонение от целевого показателя Стратегического плана составило 0,1 куб. м на 1 кв.м в </w:t>
      </w:r>
      <w:r>
        <w:rPr>
          <w:rFonts w:ascii="Times New Roman" w:hAnsi="Times New Roman" w:cs="Times New Roman"/>
          <w:sz w:val="28"/>
          <w:szCs w:val="28"/>
        </w:rPr>
        <w:t>положительную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сторону. По сравнению с 2014 годом потребление уменьшилось </w:t>
      </w:r>
      <w:r w:rsidRPr="00B7283D">
        <w:rPr>
          <w:rFonts w:ascii="Times New Roman" w:hAnsi="Times New Roman" w:cs="Times New Roman"/>
          <w:sz w:val="28"/>
          <w:szCs w:val="28"/>
        </w:rPr>
        <w:br/>
        <w:t>на 0,1 куб. м на 1 кв.м муниципальной  площади;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-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природный газ</w:t>
      </w:r>
      <w:r w:rsidRPr="00B7283D">
        <w:rPr>
          <w:rFonts w:ascii="Times New Roman" w:hAnsi="Times New Roman" w:cs="Times New Roman"/>
          <w:sz w:val="28"/>
          <w:szCs w:val="28"/>
        </w:rPr>
        <w:t xml:space="preserve"> – 3,24 куб. м на 1 кв.м муниципальной площади, отклонение от целевого показателя Стратегического плана составило 1,26 куб. м на 1 кв.м в </w:t>
      </w:r>
      <w:r>
        <w:rPr>
          <w:rFonts w:ascii="Times New Roman" w:hAnsi="Times New Roman" w:cs="Times New Roman"/>
          <w:sz w:val="28"/>
          <w:szCs w:val="28"/>
        </w:rPr>
        <w:t>положительную</w:t>
      </w:r>
      <w:r w:rsidRPr="00B7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сторону</w:t>
      </w:r>
      <w:r w:rsidRPr="00B7283D">
        <w:rPr>
          <w:rFonts w:ascii="Times New Roman" w:hAnsi="Times New Roman" w:cs="Times New Roman"/>
          <w:sz w:val="28"/>
          <w:szCs w:val="28"/>
        </w:rPr>
        <w:t>. По сравнению с 2014 годом потребление газа уменьшилось на 1,28 куб. м на 1 кв.м муниципальной  площади.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Причиной снижения значений индикаторов стало общее снижение потребления энергетических ресурсов муниципальными бюджетными учреждениями за счет их экономии и более рационального использования.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5DE" w:rsidRPr="00B7283D" w:rsidRDefault="008F65DE" w:rsidP="008F65D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3.2)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Благоустройство  города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3.2.1)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Удельный вес улиц, обеспеченных уличным освещением</w:t>
      </w:r>
      <w:r w:rsidRPr="00B7283D">
        <w:rPr>
          <w:rFonts w:ascii="Times New Roman" w:hAnsi="Times New Roman" w:cs="Times New Roman"/>
          <w:sz w:val="28"/>
          <w:szCs w:val="28"/>
        </w:rPr>
        <w:t>, в 2015 году составил 76 %, что соответствует плановому значению индикатора. По сравнению с 2014 годом показатель улучшился на 0,2 процентных пункта.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В 2015 году осуществлен прием в собственность муниципального образования бесхозных сетей наружного освещения по ул. Бирюзова, д.д. 21, 22, 23 и по ул. Интернациональная д.д. 1, 2, 2 корп.1, 3 корп.2.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3.2.2)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Площадь парков, скверов, бульваров и зеленых зон на территории города Рязани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составила 521,5 га, что соответствует плановому значению показателя. По сравнению с 2014 годом площадь зеленых зон увеличилась </w:t>
      </w:r>
      <w:r w:rsidRPr="00B7283D">
        <w:rPr>
          <w:rFonts w:ascii="Times New Roman" w:hAnsi="Times New Roman" w:cs="Times New Roman"/>
          <w:sz w:val="28"/>
          <w:szCs w:val="28"/>
        </w:rPr>
        <w:br/>
        <w:t>на 1,5 га. В 2015 году выполнено благоустройство земельного участка Дубовой рощи в 7-ом микрорайоне Дашково-Песочня.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3.2.3)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Удельный вес улиц и дорог, убираемых механизированным способом</w:t>
      </w:r>
      <w:r w:rsidRPr="00B7283D">
        <w:rPr>
          <w:rFonts w:ascii="Times New Roman" w:hAnsi="Times New Roman" w:cs="Times New Roman"/>
          <w:sz w:val="28"/>
          <w:szCs w:val="28"/>
        </w:rPr>
        <w:t>, составляет: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b/>
          <w:i/>
          <w:sz w:val="28"/>
          <w:szCs w:val="28"/>
        </w:rPr>
        <w:t>- в летний период</w:t>
      </w:r>
      <w:r w:rsidRPr="00B7283D">
        <w:rPr>
          <w:rFonts w:ascii="Times New Roman" w:hAnsi="Times New Roman" w:cs="Times New Roman"/>
          <w:sz w:val="28"/>
          <w:szCs w:val="28"/>
        </w:rPr>
        <w:t xml:space="preserve"> – 67 %, что соответствует плановому значению показателя и уровню 2014 года;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7283D">
        <w:rPr>
          <w:rFonts w:ascii="Times New Roman" w:hAnsi="Times New Roman" w:cs="Times New Roman"/>
          <w:sz w:val="28"/>
          <w:szCs w:val="28"/>
        </w:rPr>
        <w:t xml:space="preserve">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в зимний период</w:t>
      </w:r>
      <w:r w:rsidRPr="00B7283D">
        <w:rPr>
          <w:rFonts w:ascii="Times New Roman" w:hAnsi="Times New Roman" w:cs="Times New Roman"/>
          <w:sz w:val="28"/>
          <w:szCs w:val="28"/>
        </w:rPr>
        <w:t xml:space="preserve"> – 100 %, что соответствует плановому значению показателя и уровню 2014 года.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3.3)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Дорожное хозяйство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3.3.1)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протяженности автомобильных дорог общего пользования местного 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составила 60,8%, что превышает плановое значение на 0,2 процентных пункта. По сравнению с прошлым годом данный показатель улучшился </w:t>
      </w:r>
      <w:r w:rsidRPr="00B7283D">
        <w:rPr>
          <w:rFonts w:ascii="Times New Roman" w:hAnsi="Times New Roman" w:cs="Times New Roman"/>
          <w:sz w:val="28"/>
          <w:szCs w:val="28"/>
        </w:rPr>
        <w:br/>
        <w:t>на 4,2 процентных пункта. Протяженность дорог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83D">
        <w:rPr>
          <w:rFonts w:ascii="Times New Roman" w:hAnsi="Times New Roman" w:cs="Times New Roman"/>
          <w:sz w:val="28"/>
          <w:szCs w:val="28"/>
        </w:rPr>
        <w:t xml:space="preserve"> не отвечающих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составила 283,2 км (общая протяженность дорог - </w:t>
      </w:r>
      <w:r w:rsidRPr="00B7283D">
        <w:rPr>
          <w:rFonts w:ascii="Times New Roman" w:hAnsi="Times New Roman" w:cs="Times New Roman"/>
          <w:sz w:val="28"/>
          <w:szCs w:val="28"/>
        </w:rPr>
        <w:br/>
        <w:t>465,6 км).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Для обеспечения нормативного состояния автодорог в городе в 2015 году выполнены мероприятия по содержанию, ремонту и капитальному ремонту дорог.  Общая протяженность отремонтированных автодорог составила 18,8 км. Выполнены работы по ремонту 24 участков улично-дорожной сети города Рязани.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3.4)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Охрана  окружающей  среды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3.4.1)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муниципальных водных объектов, охваченных работами по их реабилитации, от общего количества муниципальных водных объектов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составила в 2015 году 21%, что соответствует плановому значению показателя.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В 2015 году выполнены мероприятия по биологической очистке пруда, расположенного в парке на ул.Шевченко, санитарная очистка береговой полосы пруда № 38, расположенного по ул. Зубковой, проведена анафелогенная обработка 22 муниципальных водоемов на общей площади 20151 кв. м;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3.4.2)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территорий зеленого фонда, на которых проведены мероприятия по восстановлению зеленых насаждений (нарастающим итогом) </w:t>
      </w:r>
      <w:r w:rsidRPr="00B7283D">
        <w:rPr>
          <w:rFonts w:ascii="Times New Roman" w:hAnsi="Times New Roman" w:cs="Times New Roman"/>
          <w:sz w:val="28"/>
          <w:szCs w:val="28"/>
        </w:rPr>
        <w:t>составило в 2015 году 424 ед., что превышает плановое значение показателя</w:t>
      </w:r>
      <w:r w:rsidRPr="00B7283D">
        <w:rPr>
          <w:rFonts w:ascii="Times New Roman" w:hAnsi="Times New Roman" w:cs="Times New Roman"/>
          <w:sz w:val="28"/>
          <w:szCs w:val="28"/>
        </w:rPr>
        <w:br/>
        <w:t>на 2 единицы. Это связано в проведением работ по оформлению ландшафтной композиции в сквере на пл. Ленина и посадке деревьев на Касимовском шоссе (участок от ООТ «Мясокомбинат» до перекрестка с ул. Новая)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3.5)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Развитие транспортной системы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3.5.1)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Общая протяженность маршрутов общественного транспорта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 2015 году составила 473,3 км. Фактическое значение  индикатора на 3,3 км выше  планового значения. По сравнению с 2014 годом протяженность увеличилась на 12,3 км за счет открытия и продления маршрутов общественного транспорта (№ 43М2, № 49М2, № 55М2), а также переноса конечных пунктов и изменения пути следования на отдельных маршрутах.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3.5.2) С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редняя скорость движения общественного транспорта по городу</w:t>
      </w:r>
      <w:r w:rsidRPr="00B7283D">
        <w:rPr>
          <w:rFonts w:ascii="Times New Roman" w:hAnsi="Times New Roman" w:cs="Times New Roman"/>
          <w:sz w:val="28"/>
          <w:szCs w:val="28"/>
        </w:rPr>
        <w:t xml:space="preserve"> составила 14,5 км/ч, что соответствует плановому  значению. По сравнению </w:t>
      </w:r>
      <w:r w:rsidRPr="00B7283D">
        <w:rPr>
          <w:rFonts w:ascii="Times New Roman" w:hAnsi="Times New Roman" w:cs="Times New Roman"/>
          <w:sz w:val="28"/>
          <w:szCs w:val="28"/>
        </w:rPr>
        <w:br/>
        <w:t>с 2014 годом она увеличилась на 3,6% или на 0,5 км/ч. Сведения о скорости движения получены путем анализа данных, полученных с помощью навигационно-связного оборудования, обеспечивающего позиционирование транспортных средств по сигналам навигационных спутниковых систем «ГЛОНАСС».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На увеличение показателя повлияли мероприятия по оптимизации маршрутов общественного транспорта, а также усиление контроля за нарушением правил дорожного движения, в том числе правил парковки.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3.6)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Обеспечение  безопасности и общественного порядка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3.6.1)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Количество народных дружинников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увеличилось по сравнению с 2014 годом на 40 человек и составило 605 человек, что превышает плановое значение (не менее 450 человек) на 155 человек. В дальнейшем необходимо провести оптимизацию численности народной дружины  в соответствии с рекомендациями УМВД России по г. Рязани с учетом сложившейся практики привлечения дружинников к охране общественного порядка и потребности полиции, а также с учетом объемов финансирования мероприятий по премированию народных дружинников за счет субсидий из областного бюджета.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3.6.2)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Количество детей и подростков, принявших участие в мероприятиях, направленных на профилактику безнадзорности и правонарушений несовершеннолетних</w:t>
      </w:r>
      <w:r w:rsidRPr="00B7283D">
        <w:rPr>
          <w:rFonts w:ascii="Times New Roman" w:hAnsi="Times New Roman" w:cs="Times New Roman"/>
          <w:sz w:val="28"/>
          <w:szCs w:val="28"/>
        </w:rPr>
        <w:t xml:space="preserve">, в 2015 году составило 5300 человек, что соответствует плановому значению индикатора. Индикатор введен в 2015 году в связи с необходимостью проведения адресных мероприятий по профилактике безнадзорности и правонарушений несовершеннолетних. Данные мероприятия направлены на профилактику правонарушений, пропаганду законопослушного поведения, недопустимость экстремистских проявлений, ознакомление с установленной в законодательном порядке ответственностью за совершение правонарушений. </w:t>
      </w:r>
    </w:p>
    <w:p w:rsidR="008F65DE" w:rsidRPr="00B7283D" w:rsidRDefault="008F65DE" w:rsidP="008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4)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Направление: Сбалансированное пространственное развитие</w:t>
      </w:r>
    </w:p>
    <w:p w:rsidR="008F65DE" w:rsidRPr="00B7283D" w:rsidRDefault="008F65DE" w:rsidP="008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4.1) 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Реализация  жилищной политики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4.1.1)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Общая площадь жилых помещений, приходящаяся в среднем на одного жителя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составила 26,3 кв. м, что соответствует плановому значению показателя.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На достижение данного индикатора непосредственное влияние оказывает объем ввода жилья и численность населения города. Несмотря на прирост численности населения, показатель превысил уровень предыдущего года на 1 кв. м, благодаря положительной динамике роста объемов строительства. В 2015 году было введено в эксплуатацию 384,7 тыс. кв. м жилья, что на 8,2 % </w:t>
      </w:r>
      <w:r w:rsidRPr="00B7283D">
        <w:rPr>
          <w:rFonts w:ascii="Times New Roman" w:hAnsi="Times New Roman" w:cs="Times New Roman"/>
          <w:sz w:val="28"/>
          <w:szCs w:val="28"/>
        </w:rPr>
        <w:br/>
        <w:t xml:space="preserve">или на 29,2 тыс. кв. метров больше уровня 2014 года.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4.1.2)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 учете в качестве нуждающегося в жилых помещениях</w:t>
      </w:r>
      <w:r w:rsidRPr="00B7283D">
        <w:rPr>
          <w:rFonts w:ascii="Times New Roman" w:hAnsi="Times New Roman" w:cs="Times New Roman"/>
          <w:sz w:val="28"/>
          <w:szCs w:val="28"/>
        </w:rPr>
        <w:t xml:space="preserve"> </w:t>
      </w:r>
      <w:r w:rsidRPr="00B7283D">
        <w:rPr>
          <w:rFonts w:ascii="Times New Roman" w:hAnsi="Times New Roman" w:cs="Times New Roman"/>
          <w:sz w:val="28"/>
          <w:szCs w:val="28"/>
        </w:rPr>
        <w:br/>
        <w:t>в 2015 году составила 3,16 %, что на 1,06 процентных пункта выше планового значения и на столько же превышает уровень 2014 года. Общая численность населения, состоящего на учете в качестве нуждающегося в улучшении жилищных условий,  в 2015 году составила 22560 чел. (в 2014 г. – 23621 чел.), численность населения, получившего жилые помещения и улучшившего жилищные  условия  составила 712 чел. (в 2014 г. - 487 чел.).</w:t>
      </w:r>
    </w:p>
    <w:p w:rsidR="008F65DE" w:rsidRPr="00B7283D" w:rsidRDefault="008F65DE" w:rsidP="008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5)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Направление: Эффективный менеджмент</w:t>
      </w:r>
    </w:p>
    <w:p w:rsidR="008F65DE" w:rsidRPr="00B7283D" w:rsidRDefault="008F65DE" w:rsidP="008F65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5.1)</w:t>
      </w:r>
      <w:r w:rsidRPr="00B7283D">
        <w:rPr>
          <w:rFonts w:ascii="Times New Roman" w:hAnsi="Times New Roman" w:cs="Times New Roman"/>
          <w:sz w:val="28"/>
          <w:szCs w:val="28"/>
        </w:rPr>
        <w:tab/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Задача: Развитие  муниципального управления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5.1.1)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по сравнению с прошлым годом увеличилась </w:t>
      </w:r>
      <w:r w:rsidRPr="00B7283D">
        <w:rPr>
          <w:rFonts w:ascii="Times New Roman" w:hAnsi="Times New Roman" w:cs="Times New Roman"/>
          <w:sz w:val="28"/>
          <w:szCs w:val="28"/>
        </w:rPr>
        <w:br/>
        <w:t>на 0,3 процентных пункта и составила 60,6% (на 0,1 процентных пункта выше планового значения индикатора). Прирост показателя связан с оформлением в собственность земельных участков физическими и юридическими лицами. В тоже время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Pr="00B7283D">
        <w:rPr>
          <w:rFonts w:ascii="Times New Roman" w:hAnsi="Times New Roman" w:cs="Times New Roman"/>
          <w:sz w:val="28"/>
          <w:szCs w:val="28"/>
        </w:rPr>
        <w:t xml:space="preserve"> не ожидается существенного роста данного показателя  в связи с тем, что с 01.01.2015 земельные участки, входящие в состав общего имущества многоквартирного дома, не признаются объектом налогообложения (в соответствии с изменениями, внесенными в ст.389 Налогового кодекса РФ).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5.1.2) </w:t>
      </w:r>
      <w:r w:rsidRPr="00B7283D">
        <w:rPr>
          <w:rFonts w:ascii="Times New Roman" w:hAnsi="Times New Roman" w:cs="Times New Roman"/>
          <w:b/>
          <w:i/>
          <w:sz w:val="28"/>
          <w:szCs w:val="28"/>
        </w:rPr>
        <w:t>Уровень удовлетворенности граждан качеством предоставления муниципальных услуг</w:t>
      </w:r>
      <w:r w:rsidRPr="00B7283D">
        <w:rPr>
          <w:rFonts w:ascii="Times New Roman" w:hAnsi="Times New Roman" w:cs="Times New Roman"/>
          <w:sz w:val="28"/>
          <w:szCs w:val="28"/>
        </w:rPr>
        <w:t xml:space="preserve"> в 2015 году составил 97%, что превышает плановые значения на 27 процентных пунктов (план – 70%). Относительно 2014 года показатель вырос на 2 процентных пункта. </w:t>
      </w:r>
    </w:p>
    <w:p w:rsidR="008F65DE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 xml:space="preserve">Индикатор характеризует качество предоставления муниципальных услуг на базе МФЦ. Плановые значения индикатора приведены в соответствии с Указом  Президента РФ от 7.05.2012 № 601. </w:t>
      </w:r>
    </w:p>
    <w:p w:rsidR="008F65DE" w:rsidRPr="00B7283D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5DE" w:rsidRDefault="008F65DE" w:rsidP="008F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3D">
        <w:rPr>
          <w:rFonts w:ascii="Times New Roman" w:hAnsi="Times New Roman" w:cs="Times New Roman"/>
          <w:sz w:val="28"/>
          <w:szCs w:val="28"/>
        </w:rPr>
        <w:t>Оценка динамики целевых показателей реализации задач Стратегического плана показала, что по большинству показателей фактические значения соответствуют плановым, или наблюдаются минимальные отклонения. При этом реализация Стратегического плана в 2015 году характеризуется положительной динамикой большинства показателей относительно уровня 2014 года, что позволяет сделать вывод об эффективности деятельности администрации по реализации задач Стратегического плана. Достижение целевых показателей осуществляется в рамках реализации муниципальных программ.</w:t>
      </w:r>
    </w:p>
    <w:p w:rsidR="00597499" w:rsidRDefault="00597499"/>
    <w:sectPr w:rsidR="0059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7D" w:rsidRDefault="008F65DE">
    <w:pPr>
      <w:pStyle w:val="a3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D577D" w:rsidRDefault="008F65D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DE"/>
    <w:rsid w:val="00597499"/>
    <w:rsid w:val="008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DE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8F65DE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65DE"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5DE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F65DE"/>
    <w:rPr>
      <w:rFonts w:ascii="Times New Roman" w:eastAsia="Times New Roman" w:hAnsi="Times New Roman" w:cs="Calibri"/>
      <w:b/>
      <w:bCs/>
      <w:sz w:val="28"/>
      <w:szCs w:val="26"/>
      <w:lang w:eastAsia="ar-SA"/>
    </w:rPr>
  </w:style>
  <w:style w:type="character" w:customStyle="1" w:styleId="21">
    <w:name w:val="Основной текст с отступом 2 Знак"/>
    <w:link w:val="22"/>
    <w:uiPriority w:val="99"/>
    <w:rsid w:val="008F65DE"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8F65DE"/>
  </w:style>
  <w:style w:type="character" w:customStyle="1" w:styleId="a4">
    <w:name w:val="Верхний колонтитул Знак"/>
    <w:basedOn w:val="a0"/>
    <w:link w:val="a3"/>
    <w:uiPriority w:val="99"/>
    <w:rsid w:val="008F65DE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8F65DE"/>
    <w:pPr>
      <w:ind w:left="720"/>
    </w:pPr>
  </w:style>
  <w:style w:type="paragraph" w:customStyle="1" w:styleId="ConsPlusNonformat">
    <w:name w:val="ConsPlusNonformat"/>
    <w:uiPriority w:val="99"/>
    <w:rsid w:val="008F65D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8F65DE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0"/>
    </w:rPr>
  </w:style>
  <w:style w:type="paragraph" w:styleId="22">
    <w:name w:val="Body Text Indent 2"/>
    <w:basedOn w:val="a"/>
    <w:link w:val="21"/>
    <w:uiPriority w:val="99"/>
    <w:unhideWhenUsed/>
    <w:rsid w:val="008F65DE"/>
    <w:pPr>
      <w:suppressAutoHyphens w:val="0"/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8F65D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DE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8F65DE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65DE"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5DE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F65DE"/>
    <w:rPr>
      <w:rFonts w:ascii="Times New Roman" w:eastAsia="Times New Roman" w:hAnsi="Times New Roman" w:cs="Calibri"/>
      <w:b/>
      <w:bCs/>
      <w:sz w:val="28"/>
      <w:szCs w:val="26"/>
      <w:lang w:eastAsia="ar-SA"/>
    </w:rPr>
  </w:style>
  <w:style w:type="character" w:customStyle="1" w:styleId="21">
    <w:name w:val="Основной текст с отступом 2 Знак"/>
    <w:link w:val="22"/>
    <w:uiPriority w:val="99"/>
    <w:rsid w:val="008F65DE"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8F65DE"/>
  </w:style>
  <w:style w:type="character" w:customStyle="1" w:styleId="a4">
    <w:name w:val="Верхний колонтитул Знак"/>
    <w:basedOn w:val="a0"/>
    <w:link w:val="a3"/>
    <w:uiPriority w:val="99"/>
    <w:rsid w:val="008F65DE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8F65DE"/>
    <w:pPr>
      <w:ind w:left="720"/>
    </w:pPr>
  </w:style>
  <w:style w:type="paragraph" w:customStyle="1" w:styleId="ConsPlusNonformat">
    <w:name w:val="ConsPlusNonformat"/>
    <w:uiPriority w:val="99"/>
    <w:rsid w:val="008F65D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8F65DE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0"/>
    </w:rPr>
  </w:style>
  <w:style w:type="paragraph" w:styleId="22">
    <w:name w:val="Body Text Indent 2"/>
    <w:basedOn w:val="a"/>
    <w:link w:val="21"/>
    <w:uiPriority w:val="99"/>
    <w:unhideWhenUsed/>
    <w:rsid w:val="008F65DE"/>
    <w:pPr>
      <w:suppressAutoHyphens w:val="0"/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8F65D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4329</Words>
  <Characters>24680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РЕЗУЛЬТАТЫ МОНИТОРИНГА ХОДА РЕАЛИЗАЦИИ В 2015 ГОДУ ПЛАНА СТРАТЕГИЧЕСКОГО РАЗВИТИ</vt:lpstr>
      <vt:lpstr/>
      <vt:lpstr>        4.2. Оценка хода реализации Стратегического плана </vt:lpstr>
    </vt:vector>
  </TitlesOfParts>
  <Company/>
  <LinksUpToDate>false</LinksUpToDate>
  <CharactersWithSpaces>28952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Ольга Викторовна Жукова</cp:lastModifiedBy>
  <cp:revision>1</cp:revision>
  <dcterms:created xsi:type="dcterms:W3CDTF">2016-05-27T07:22:00Z</dcterms:created>
  <dcterms:modified xsi:type="dcterms:W3CDTF">2016-05-27T07:24:00Z</dcterms:modified>
</cp:coreProperties>
</file>